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9D093B" w:rsidP="005D0621">
            <w:pPr>
              <w:rPr>
                <w:b/>
              </w:rPr>
            </w:pPr>
            <w:r>
              <w:rPr>
                <w:rStyle w:val="Firstpagetablebold"/>
              </w:rPr>
              <w:t>16 October 2017</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9D093B" w:rsidP="004A6D2F">
            <w:pPr>
              <w:rPr>
                <w:rStyle w:val="Firstpagetablebold"/>
              </w:rPr>
            </w:pPr>
            <w:r>
              <w:rPr>
                <w:rStyle w:val="Firstpagetablebold"/>
              </w:rPr>
              <w:t xml:space="preserve">Head of </w:t>
            </w:r>
            <w:r w:rsidRPr="009D093B">
              <w:rPr>
                <w:rStyle w:val="Firstpagetablebold"/>
              </w:rPr>
              <w:t>Planning, Sustainable Development and Regulatory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9D093B" w:rsidP="004A6D2F">
            <w:pPr>
              <w:rPr>
                <w:rStyle w:val="Firstpagetablebold"/>
              </w:rPr>
            </w:pPr>
            <w:r>
              <w:rPr>
                <w:rStyle w:val="Firstpagetablebold"/>
              </w:rPr>
              <w:t xml:space="preserve">Housing Assistance and Disabled Adaptation Policy </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9D093B" w:rsidP="002573EF">
            <w:r>
              <w:t xml:space="preserve">This report seeks approval from members to </w:t>
            </w:r>
            <w:r w:rsidR="002573EF">
              <w:t xml:space="preserve">consult on proposed </w:t>
            </w:r>
            <w:r>
              <w:t xml:space="preserve">changes to the </w:t>
            </w:r>
            <w:r w:rsidRPr="009D093B">
              <w:t>Housing Assistance</w:t>
            </w:r>
            <w:r>
              <w:t xml:space="preserve"> and Disabled Adaptation Policy.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F7F7E">
            <w:r w:rsidRPr="001356F1">
              <w:t xml:space="preserve">Yes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E873C7" w:rsidP="005F7F7E">
            <w:r>
              <w:t xml:space="preserve">Councillor Mike Rowley, </w:t>
            </w:r>
            <w:r w:rsidRPr="00E873C7">
              <w:t>Board Member for Housing</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C34EDE" w:rsidP="005F7F7E">
            <w:r w:rsidRPr="00C34EDE">
              <w:t>Meeting housing needs, Strong and active communities, An effective and efficient council.</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A8176F" w:rsidRPr="001356F1" w:rsidRDefault="00F74B3C" w:rsidP="00CE6F46">
            <w:r>
              <w:t>Private Sector Housing Policy 20</w:t>
            </w:r>
            <w:r w:rsidR="00CE6F46">
              <w:t>1</w:t>
            </w:r>
            <w:r>
              <w:t>6-19</w:t>
            </w:r>
          </w:p>
        </w:tc>
      </w:tr>
      <w:tr w:rsidR="005F7F7E" w:rsidRPr="00975B07" w:rsidTr="00A46E98">
        <w:trPr>
          <w:trHeight w:val="413"/>
        </w:trPr>
        <w:tc>
          <w:tcPr>
            <w:tcW w:w="8845" w:type="dxa"/>
            <w:gridSpan w:val="3"/>
            <w:tcBorders>
              <w:bottom w:val="single" w:sz="8" w:space="0" w:color="000000"/>
            </w:tcBorders>
          </w:tcPr>
          <w:p w:rsidR="005F7F7E" w:rsidRPr="00975B07" w:rsidRDefault="00F67C66" w:rsidP="004A6D2F">
            <w:proofErr w:type="spellStart"/>
            <w:r>
              <w:rPr>
                <w:rStyle w:val="Firstpagetablebold"/>
              </w:rPr>
              <w:t>Recommendation</w:t>
            </w:r>
            <w:r w:rsidR="005F7F7E">
              <w:rPr>
                <w:rStyle w:val="Firstpagetablebold"/>
              </w:rPr>
              <w:t>:That</w:t>
            </w:r>
            <w:proofErr w:type="spellEnd"/>
            <w:r w:rsidR="005F7F7E">
              <w:rPr>
                <w:rStyle w:val="Firstpagetablebold"/>
              </w:rPr>
              <w:t xml:space="preserve"> the City Executive Board resolves to:</w:t>
            </w:r>
          </w:p>
        </w:tc>
      </w:tr>
      <w:tr w:rsidR="0030208D" w:rsidRPr="00C34EDE" w:rsidTr="00BE4593">
        <w:trPr>
          <w:trHeight w:val="283"/>
        </w:trPr>
        <w:tc>
          <w:tcPr>
            <w:tcW w:w="426" w:type="dxa"/>
            <w:tcBorders>
              <w:top w:val="single" w:sz="8" w:space="0" w:color="000000"/>
              <w:left w:val="single" w:sz="8" w:space="0" w:color="000000"/>
              <w:bottom w:val="single" w:sz="8" w:space="0" w:color="000000"/>
              <w:right w:val="nil"/>
            </w:tcBorders>
          </w:tcPr>
          <w:p w:rsidR="0030208D" w:rsidRPr="00975B07" w:rsidRDefault="00046D2B" w:rsidP="004A6D2F">
            <w:r w:rsidRPr="00975B07">
              <w:t>1.</w:t>
            </w:r>
          </w:p>
        </w:tc>
        <w:tc>
          <w:tcPr>
            <w:tcW w:w="8419" w:type="dxa"/>
            <w:gridSpan w:val="2"/>
            <w:tcBorders>
              <w:top w:val="single" w:sz="8" w:space="0" w:color="000000"/>
              <w:left w:val="nil"/>
              <w:bottom w:val="single" w:sz="8" w:space="0" w:color="000000"/>
              <w:right w:val="single" w:sz="8" w:space="0" w:color="000000"/>
            </w:tcBorders>
            <w:shd w:val="clear" w:color="auto" w:fill="auto"/>
          </w:tcPr>
          <w:p w:rsidR="00A8176F" w:rsidRPr="00C34EDE" w:rsidRDefault="00C34EDE" w:rsidP="00BE4593">
            <w:r w:rsidRPr="00C34EDE">
              <w:rPr>
                <w:rStyle w:val="Firstpagetablebold"/>
                <w:b w:val="0"/>
              </w:rPr>
              <w:t xml:space="preserve">Approve </w:t>
            </w:r>
            <w:r w:rsidR="00BE4593">
              <w:rPr>
                <w:rStyle w:val="Firstpagetablebold"/>
                <w:b w:val="0"/>
              </w:rPr>
              <w:t xml:space="preserve">the draft </w:t>
            </w:r>
            <w:r w:rsidR="00BE4593" w:rsidRPr="00C34EDE">
              <w:rPr>
                <w:rStyle w:val="Firstpagetablebold"/>
                <w:b w:val="0"/>
              </w:rPr>
              <w:t>Housing Assistance and Disabled Adaptation Policy</w:t>
            </w:r>
            <w:r w:rsidR="00B93A9B">
              <w:rPr>
                <w:rStyle w:val="Firstpagetablebold"/>
                <w:b w:val="0"/>
              </w:rPr>
              <w:t xml:space="preserve"> for a city wide consultation.</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B30334">
        <w:trPr>
          <w:trHeight w:val="870"/>
        </w:trPr>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33362D" w:rsidRPr="001356F1" w:rsidRDefault="00C34EDE" w:rsidP="00C34EDE">
            <w:r>
              <w:t xml:space="preserve">Current - </w:t>
            </w:r>
            <w:r w:rsidRPr="00C34EDE">
              <w:t xml:space="preserve">Housing Assistance and Disabled Adaptation Policy </w:t>
            </w:r>
            <w:r>
              <w:t>2008</w:t>
            </w:r>
          </w:p>
        </w:tc>
      </w:tr>
      <w:tr w:rsidR="00ED5860" w:rsidRPr="00975B07" w:rsidTr="00A46E98">
        <w:tc>
          <w:tcPr>
            <w:tcW w:w="2438" w:type="dxa"/>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06" w:type="dxa"/>
            <w:tcBorders>
              <w:top w:val="nil"/>
              <w:left w:val="nil"/>
              <w:bottom w:val="nil"/>
              <w:right w:val="single" w:sz="8" w:space="0" w:color="000000"/>
            </w:tcBorders>
          </w:tcPr>
          <w:p w:rsidR="0033362D" w:rsidRDefault="00C34EDE" w:rsidP="004A6D2F">
            <w:r>
              <w:t xml:space="preserve">New - </w:t>
            </w:r>
            <w:r w:rsidRPr="00C34EDE">
              <w:t>Housing Assistance and Disabled Adaptation Policy 20</w:t>
            </w:r>
            <w:r>
              <w:t>17</w:t>
            </w:r>
          </w:p>
          <w:p w:rsidR="00CE6F46" w:rsidRPr="001356F1" w:rsidRDefault="00CE6F46" w:rsidP="004A6D2F"/>
        </w:tc>
      </w:tr>
      <w:tr w:rsidR="00B30334" w:rsidRPr="00975B07" w:rsidTr="00CE6F46">
        <w:tc>
          <w:tcPr>
            <w:tcW w:w="2438" w:type="dxa"/>
            <w:tcBorders>
              <w:top w:val="nil"/>
              <w:left w:val="single" w:sz="8" w:space="0" w:color="000000"/>
              <w:bottom w:val="nil"/>
              <w:right w:val="nil"/>
            </w:tcBorders>
            <w:shd w:val="clear" w:color="auto" w:fill="auto"/>
          </w:tcPr>
          <w:p w:rsidR="00B30334" w:rsidRPr="00975B07" w:rsidRDefault="00B30334" w:rsidP="00B30334">
            <w:r>
              <w:t>Appendix 3</w:t>
            </w:r>
            <w:r w:rsidRPr="00B30334">
              <w:tab/>
            </w:r>
          </w:p>
        </w:tc>
        <w:tc>
          <w:tcPr>
            <w:tcW w:w="6406" w:type="dxa"/>
            <w:tcBorders>
              <w:top w:val="nil"/>
              <w:left w:val="nil"/>
              <w:bottom w:val="nil"/>
              <w:right w:val="single" w:sz="8" w:space="0" w:color="000000"/>
            </w:tcBorders>
          </w:tcPr>
          <w:p w:rsidR="00E05CDA" w:rsidRDefault="00E05CDA" w:rsidP="00CE6F46">
            <w:r>
              <w:t>Risk register</w:t>
            </w:r>
          </w:p>
          <w:p w:rsidR="00CE6F46" w:rsidRDefault="00CE6F46" w:rsidP="00CE6F46"/>
        </w:tc>
      </w:tr>
      <w:tr w:rsidR="00B30334" w:rsidRPr="00975B07" w:rsidTr="00CE6F46">
        <w:tc>
          <w:tcPr>
            <w:tcW w:w="2438" w:type="dxa"/>
            <w:tcBorders>
              <w:top w:val="nil"/>
              <w:left w:val="single" w:sz="8" w:space="0" w:color="000000"/>
              <w:bottom w:val="single" w:sz="4" w:space="0" w:color="auto"/>
              <w:right w:val="nil"/>
            </w:tcBorders>
            <w:shd w:val="clear" w:color="auto" w:fill="auto"/>
          </w:tcPr>
          <w:p w:rsidR="00B30334" w:rsidRPr="00975B07" w:rsidRDefault="00B30334" w:rsidP="00B30334">
            <w:r w:rsidRPr="00B30334">
              <w:t xml:space="preserve">Appendix </w:t>
            </w:r>
            <w:r>
              <w:t>4</w:t>
            </w:r>
          </w:p>
        </w:tc>
        <w:tc>
          <w:tcPr>
            <w:tcW w:w="6406" w:type="dxa"/>
            <w:tcBorders>
              <w:top w:val="nil"/>
              <w:left w:val="nil"/>
              <w:bottom w:val="single" w:sz="4" w:space="0" w:color="auto"/>
              <w:right w:val="single" w:sz="8" w:space="0" w:color="000000"/>
            </w:tcBorders>
          </w:tcPr>
          <w:p w:rsidR="00E05CDA" w:rsidRDefault="00E05CDA" w:rsidP="00CE6F46">
            <w:r>
              <w:t>Equalities Impact Assessment</w:t>
            </w:r>
          </w:p>
        </w:tc>
      </w:tr>
    </w:tbl>
    <w:p w:rsidR="00A8176F" w:rsidRDefault="00A8176F" w:rsidP="004A6D2F">
      <w:pPr>
        <w:pStyle w:val="Heading1"/>
      </w:pPr>
    </w:p>
    <w:p w:rsidR="00F67C66" w:rsidRPr="00F67C66" w:rsidRDefault="00F67C66" w:rsidP="00F67C66">
      <w:bookmarkStart w:id="0" w:name="_GoBack"/>
      <w:bookmarkEnd w:id="0"/>
    </w:p>
    <w:p w:rsidR="0040736F" w:rsidRPr="001356F1" w:rsidRDefault="00F66DCA" w:rsidP="004A6D2F">
      <w:pPr>
        <w:pStyle w:val="Heading1"/>
      </w:pPr>
      <w:r w:rsidRPr="001356F1">
        <w:lastRenderedPageBreak/>
        <w:t>Introduction and b</w:t>
      </w:r>
      <w:r w:rsidR="00151888" w:rsidRPr="001356F1">
        <w:t>ackground</w:t>
      </w:r>
      <w:r w:rsidR="00404032" w:rsidRPr="001356F1">
        <w:t xml:space="preserve"> </w:t>
      </w:r>
    </w:p>
    <w:p w:rsidR="00DA22FF" w:rsidRDefault="00DA22FF" w:rsidP="00611FA8">
      <w:pPr>
        <w:pStyle w:val="ListParagraph"/>
      </w:pPr>
      <w:r w:rsidRPr="00DA22FF">
        <w:t xml:space="preserve">The Regulatory Reform (Housing Assistance) (England and Wales) Order 2002 provides the council with powers </w:t>
      </w:r>
      <w:r>
        <w:t xml:space="preserve">to provide </w:t>
      </w:r>
      <w:r w:rsidRPr="00DA22FF">
        <w:t xml:space="preserve">financial assistance </w:t>
      </w:r>
      <w:r w:rsidR="00E4288C">
        <w:t>to improve hous</w:t>
      </w:r>
      <w:r w:rsidRPr="00DA22FF">
        <w:t>ing conditions.</w:t>
      </w:r>
      <w:r>
        <w:t xml:space="preserve"> </w:t>
      </w:r>
      <w:r w:rsidRPr="00A8176F">
        <w:t>The Council’s</w:t>
      </w:r>
      <w:r>
        <w:t xml:space="preserve"> current </w:t>
      </w:r>
      <w:r w:rsidRPr="00A8176F">
        <w:t>Po</w:t>
      </w:r>
      <w:r>
        <w:t xml:space="preserve">licy for providing financial assistance for the </w:t>
      </w:r>
      <w:r w:rsidRPr="00DA22FF">
        <w:t>purpose of improving living conditions</w:t>
      </w:r>
      <w:r>
        <w:t xml:space="preserve"> was </w:t>
      </w:r>
      <w:r w:rsidRPr="00A8176F">
        <w:t xml:space="preserve">introduced in October 2008. It has </w:t>
      </w:r>
      <w:r>
        <w:t>regular</w:t>
      </w:r>
      <w:r w:rsidRPr="00A8176F">
        <w:t xml:space="preserve">ly been reviewed </w:t>
      </w:r>
      <w:r>
        <w:t xml:space="preserve">by senior officers </w:t>
      </w:r>
      <w:r w:rsidRPr="00A8176F">
        <w:t xml:space="preserve">and </w:t>
      </w:r>
      <w:r w:rsidR="004C2502">
        <w:t xml:space="preserve">whilst it is still relevant </w:t>
      </w:r>
      <w:r>
        <w:t xml:space="preserve">there have been changes </w:t>
      </w:r>
      <w:r w:rsidRPr="00A8176F">
        <w:t xml:space="preserve">nationally </w:t>
      </w:r>
      <w:r w:rsidR="00E4288C">
        <w:t xml:space="preserve">with regard to </w:t>
      </w:r>
      <w:r w:rsidRPr="00A8176F">
        <w:t xml:space="preserve">funding </w:t>
      </w:r>
      <w:r w:rsidR="00611FA8" w:rsidRPr="00611FA8">
        <w:t>Disabled Facilities Grants (DFG)</w:t>
      </w:r>
      <w:r w:rsidR="00611FA8">
        <w:t xml:space="preserve"> </w:t>
      </w:r>
      <w:r w:rsidR="00E4288C">
        <w:t>which need to be incorporated</w:t>
      </w:r>
      <w:r w:rsidRPr="00A8176F">
        <w:t>.</w:t>
      </w:r>
    </w:p>
    <w:p w:rsidR="00CE6F46" w:rsidRPr="00CE6F46" w:rsidRDefault="00A8176F" w:rsidP="00CE6F46">
      <w:pPr>
        <w:pStyle w:val="ListParagraph"/>
        <w:tabs>
          <w:tab w:val="clear" w:pos="426"/>
        </w:tabs>
        <w:rPr>
          <w:color w:val="auto"/>
        </w:rPr>
      </w:pPr>
      <w:r w:rsidRPr="004329FD">
        <w:rPr>
          <w:color w:val="auto"/>
        </w:rPr>
        <w:t xml:space="preserve">The Council is duty bound to approve </w:t>
      </w:r>
      <w:r w:rsidR="003D418D">
        <w:rPr>
          <w:color w:val="auto"/>
        </w:rPr>
        <w:t xml:space="preserve">complete </w:t>
      </w:r>
      <w:r w:rsidRPr="004329FD">
        <w:rPr>
          <w:color w:val="auto"/>
        </w:rPr>
        <w:t xml:space="preserve">applications made under the Housing Grants, Construction and Regeneration Act 1996 </w:t>
      </w:r>
      <w:r w:rsidR="00750C95" w:rsidRPr="004329FD">
        <w:rPr>
          <w:color w:val="auto"/>
        </w:rPr>
        <w:t>for</w:t>
      </w:r>
      <w:r w:rsidRPr="004329FD">
        <w:rPr>
          <w:color w:val="auto"/>
        </w:rPr>
        <w:t xml:space="preserve"> mandatory </w:t>
      </w:r>
      <w:r w:rsidR="00611FA8">
        <w:rPr>
          <w:color w:val="auto"/>
        </w:rPr>
        <w:t>DFGs</w:t>
      </w:r>
      <w:r w:rsidRPr="004329FD">
        <w:rPr>
          <w:color w:val="auto"/>
        </w:rPr>
        <w:t xml:space="preserve">. </w:t>
      </w:r>
      <w:r w:rsidR="004329FD">
        <w:rPr>
          <w:color w:val="auto"/>
        </w:rPr>
        <w:t xml:space="preserve">A </w:t>
      </w:r>
      <w:r w:rsidR="00E80B76" w:rsidRPr="004329FD">
        <w:rPr>
          <w:color w:val="auto"/>
        </w:rPr>
        <w:t>DFG</w:t>
      </w:r>
      <w:r w:rsidR="004329FD">
        <w:rPr>
          <w:color w:val="auto"/>
        </w:rPr>
        <w:t xml:space="preserve"> is</w:t>
      </w:r>
      <w:r w:rsidR="004329FD" w:rsidRPr="004329FD">
        <w:rPr>
          <w:color w:val="auto"/>
        </w:rPr>
        <w:t xml:space="preserve"> </w:t>
      </w:r>
      <w:r w:rsidR="004329FD">
        <w:rPr>
          <w:color w:val="auto"/>
        </w:rPr>
        <w:t>a</w:t>
      </w:r>
      <w:r w:rsidR="00E80B76" w:rsidRPr="004329FD">
        <w:rPr>
          <w:color w:val="auto"/>
        </w:rPr>
        <w:t xml:space="preserve"> means tested grant </w:t>
      </w:r>
      <w:r w:rsidR="004329FD">
        <w:rPr>
          <w:color w:val="auto"/>
        </w:rPr>
        <w:t>with a maximum limit of £30</w:t>
      </w:r>
      <w:r w:rsidR="00C67E61">
        <w:rPr>
          <w:color w:val="auto"/>
        </w:rPr>
        <w:t>,000</w:t>
      </w:r>
      <w:r w:rsidR="004329FD">
        <w:rPr>
          <w:color w:val="auto"/>
        </w:rPr>
        <w:t xml:space="preserve"> </w:t>
      </w:r>
      <w:r w:rsidR="004329FD" w:rsidRPr="004329FD">
        <w:rPr>
          <w:color w:val="auto"/>
        </w:rPr>
        <w:t xml:space="preserve">for essential housing adaptations to help disabled people stay in their own homes. </w:t>
      </w:r>
    </w:p>
    <w:p w:rsidR="001048B6" w:rsidRDefault="001048B6" w:rsidP="00750C95">
      <w:pPr>
        <w:pStyle w:val="ListParagraph"/>
        <w:tabs>
          <w:tab w:val="clear" w:pos="426"/>
        </w:tabs>
      </w:pPr>
      <w:r w:rsidRPr="00A8176F">
        <w:t xml:space="preserve">The main funding for </w:t>
      </w:r>
      <w:r w:rsidR="00CE6F46">
        <w:t>DFGs</w:t>
      </w:r>
      <w:r w:rsidRPr="00A8176F">
        <w:t xml:space="preserve"> now comes from pooled budget arrangements between </w:t>
      </w:r>
      <w:r w:rsidR="00611FA8">
        <w:t xml:space="preserve">top tier </w:t>
      </w:r>
      <w:r w:rsidRPr="00A8176F">
        <w:t xml:space="preserve">local authorities and Clinical Commissioning Groups (CCGs) via the Better Care Fund (BCF). </w:t>
      </w:r>
      <w:r w:rsidR="00611FA8">
        <w:t xml:space="preserve">The County Council </w:t>
      </w:r>
      <w:r w:rsidR="00DF67ED">
        <w:t xml:space="preserve">holds the budget and </w:t>
      </w:r>
      <w:r w:rsidR="00611FA8">
        <w:t xml:space="preserve">provides </w:t>
      </w:r>
      <w:r w:rsidR="00DF67ED">
        <w:t xml:space="preserve">DFG </w:t>
      </w:r>
      <w:r w:rsidR="00611FA8">
        <w:t xml:space="preserve">funding to each district council. </w:t>
      </w:r>
      <w:r w:rsidR="00E4288C">
        <w:t xml:space="preserve">As funding is now received from the BCF, the policy needs to be amended to reflect the BCF’s aims of </w:t>
      </w:r>
      <w:r w:rsidR="00E4288C" w:rsidRPr="00BE4593">
        <w:t>achiev</w:t>
      </w:r>
      <w:r w:rsidR="00E4288C">
        <w:t>ing</w:t>
      </w:r>
      <w:r w:rsidR="00E4288C" w:rsidRPr="00BE4593">
        <w:t xml:space="preserve"> bette</w:t>
      </w:r>
      <w:r w:rsidR="00E4288C">
        <w:t xml:space="preserve">r health and wellbeing outcomes and helping with </w:t>
      </w:r>
      <w:r w:rsidR="00E4288C" w:rsidRPr="0033362D">
        <w:t>the prevention agenda</w:t>
      </w:r>
      <w:r w:rsidR="00E4288C">
        <w:t xml:space="preserve">. </w:t>
      </w:r>
    </w:p>
    <w:p w:rsidR="0072195B" w:rsidRDefault="00E4288C" w:rsidP="0072195B">
      <w:pPr>
        <w:pStyle w:val="ListParagraph"/>
      </w:pPr>
      <w:r w:rsidRPr="00A8176F">
        <w:t>The Council ceased contributing to the DFG programme in 2015/16</w:t>
      </w:r>
      <w:r w:rsidR="00750C95">
        <w:t xml:space="preserve">, </w:t>
      </w:r>
      <w:r>
        <w:t xml:space="preserve">but there is £25,000 in the capital budget for discretionary housing assistance for 2017/18. </w:t>
      </w:r>
      <w:r w:rsidR="00AC19E4">
        <w:t>T</w:t>
      </w:r>
      <w:r w:rsidR="00AC19E4" w:rsidRPr="00AC19E4">
        <w:t xml:space="preserve">here is a need to review the council’s future budget contribution to this fund and that will be considered through the current budget preparation cycle. There is £25,000 </w:t>
      </w:r>
      <w:r w:rsidR="00AC19E4">
        <w:t>capital remaining at the moment.</w:t>
      </w:r>
    </w:p>
    <w:p w:rsidR="0072195B" w:rsidRDefault="0072195B" w:rsidP="0072195B">
      <w:pPr>
        <w:pStyle w:val="ListParagraph"/>
      </w:pPr>
      <w:r>
        <w:t>The council has been successful in obtaining external funding which has contributed to the discretionary monies available</w:t>
      </w:r>
      <w:r w:rsidR="00BB03D6">
        <w:t>. This year we have £8k from Gas</w:t>
      </w:r>
      <w:r>
        <w:t xml:space="preserve"> Safe to help undertake </w:t>
      </w:r>
      <w:r w:rsidR="00BB03D6">
        <w:t xml:space="preserve">home owner </w:t>
      </w:r>
      <w:r>
        <w:t xml:space="preserve">gas safety works and we have £12K from </w:t>
      </w:r>
      <w:proofErr w:type="spellStart"/>
      <w:r>
        <w:t>Eb</w:t>
      </w:r>
      <w:r w:rsidR="00BB03D6">
        <w:t>ico</w:t>
      </w:r>
      <w:proofErr w:type="spellEnd"/>
      <w:r w:rsidR="00BB03D6">
        <w:t xml:space="preserve"> to undertake energy efficient works for the private rented sector.</w:t>
      </w:r>
    </w:p>
    <w:p w:rsidR="00CE6F46" w:rsidRPr="00CE6F46" w:rsidRDefault="00AC19E4" w:rsidP="00CE6F46">
      <w:pPr>
        <w:pStyle w:val="ListParagraph"/>
      </w:pPr>
      <w:r>
        <w:t>T</w:t>
      </w:r>
      <w:r w:rsidR="00CE6F46">
        <w:t>he policy is delivered by the</w:t>
      </w:r>
      <w:r w:rsidR="00CE6F46" w:rsidRPr="00CE6F46">
        <w:t xml:space="preserve"> Council </w:t>
      </w:r>
      <w:r w:rsidR="00CE6F46">
        <w:t xml:space="preserve">through </w:t>
      </w:r>
      <w:r w:rsidR="003D418D">
        <w:t xml:space="preserve">an in-house </w:t>
      </w:r>
      <w:r w:rsidR="00CE6F46" w:rsidRPr="00CE6F46">
        <w:t>Home Improvement Agency (HIA)</w:t>
      </w:r>
      <w:r w:rsidR="00CE6F46">
        <w:t xml:space="preserve"> who are also c</w:t>
      </w:r>
      <w:r w:rsidR="00CE6F46" w:rsidRPr="00CE6F46">
        <w:t>ontracted by the Oxfordshire County Council and Oxfordshire Clinical Commissioning Group</w:t>
      </w:r>
      <w:r w:rsidR="00CE6F46">
        <w:t xml:space="preserve"> to deliver </w:t>
      </w:r>
      <w:r w:rsidR="004C2502">
        <w:t xml:space="preserve">additional </w:t>
      </w:r>
      <w:r w:rsidR="00CE6F46">
        <w:t xml:space="preserve">services that </w:t>
      </w:r>
      <w:r w:rsidR="004C2502">
        <w:t>enable people to remain in their home</w:t>
      </w:r>
      <w:r w:rsidR="00CE6F46" w:rsidRPr="00CE6F46">
        <w:t>.</w:t>
      </w:r>
    </w:p>
    <w:p w:rsidR="001048B6" w:rsidRDefault="00B967F9" w:rsidP="00A8176F">
      <w:pPr>
        <w:ind w:left="426" w:hanging="426"/>
        <w:rPr>
          <w:b/>
          <w:color w:val="auto"/>
        </w:rPr>
      </w:pPr>
      <w:r>
        <w:rPr>
          <w:b/>
          <w:color w:val="auto"/>
        </w:rPr>
        <w:t>Disabled Facilities Grants and t</w:t>
      </w:r>
      <w:r w:rsidR="0081769B">
        <w:rPr>
          <w:b/>
          <w:color w:val="auto"/>
        </w:rPr>
        <w:t xml:space="preserve">he </w:t>
      </w:r>
      <w:r w:rsidR="001048B6" w:rsidRPr="001048B6">
        <w:rPr>
          <w:b/>
          <w:color w:val="auto"/>
        </w:rPr>
        <w:t xml:space="preserve">Better Care Fund </w:t>
      </w:r>
    </w:p>
    <w:p w:rsidR="001048B6" w:rsidRDefault="0081769B" w:rsidP="0081769B">
      <w:pPr>
        <w:pStyle w:val="ListParagraph"/>
        <w:tabs>
          <w:tab w:val="clear" w:pos="426"/>
          <w:tab w:val="left" w:pos="567"/>
        </w:tabs>
      </w:pPr>
      <w:r w:rsidRPr="0081769B">
        <w:t>The Better Care Fund was announced by the Government in the June 2013 spending round</w:t>
      </w:r>
      <w:r w:rsidR="003D418D">
        <w:t xml:space="preserve"> as part of the </w:t>
      </w:r>
      <w:r w:rsidRPr="0081769B">
        <w:t>transformation in integrated health and social care.</w:t>
      </w:r>
      <w:r>
        <w:t xml:space="preserve"> </w:t>
      </w:r>
      <w:r w:rsidR="00750C95">
        <w:t>Nationally, i</w:t>
      </w:r>
      <w:r w:rsidR="001048B6" w:rsidRPr="001F284E">
        <w:t>n 2016-17, the Better Care Fund was increased to £3.9 billion to be deployed locally on health and social care through pooled budget arrangements between local authorities and Clinical Commissioning Groups (CCGs).</w:t>
      </w:r>
      <w:r w:rsidR="001F284E">
        <w:t xml:space="preserve"> </w:t>
      </w:r>
      <w:r w:rsidR="001048B6" w:rsidRPr="001F284E">
        <w:t xml:space="preserve">Part of the fund is the £394 million allocation for the Disabled Facilities Grant, which is paid directly from the Government to </w:t>
      </w:r>
      <w:r w:rsidR="00750C95">
        <w:t xml:space="preserve">upper tier </w:t>
      </w:r>
      <w:r w:rsidR="001048B6" w:rsidRPr="001F284E">
        <w:t xml:space="preserve">local authorities. The Better Care Fund (BCF) brings together money from a number of health and social care budgets in order to find better ways of delivering health and care services, and make a person’s health pathway easier to navigate. </w:t>
      </w:r>
      <w:r w:rsidR="00B967F9">
        <w:t>I</w:t>
      </w:r>
      <w:r w:rsidR="001048B6" w:rsidRPr="001F284E">
        <w:t>t is a crucial part of delivering the aims of the Care Act</w:t>
      </w:r>
      <w:r w:rsidR="00B967F9">
        <w:t xml:space="preserve"> 2014</w:t>
      </w:r>
      <w:r w:rsidR="001048B6" w:rsidRPr="001F284E">
        <w:t xml:space="preserve">, especially on the prevention agenda and reducing hospital discharge delays. </w:t>
      </w:r>
    </w:p>
    <w:p w:rsidR="00B758D0" w:rsidRPr="00F74B3C" w:rsidRDefault="00B758D0" w:rsidP="00B758D0">
      <w:pPr>
        <w:tabs>
          <w:tab w:val="left" w:pos="567"/>
        </w:tabs>
      </w:pPr>
    </w:p>
    <w:p w:rsidR="001048B6" w:rsidRDefault="001048B6" w:rsidP="00750C95">
      <w:pPr>
        <w:pStyle w:val="ListParagraph"/>
        <w:tabs>
          <w:tab w:val="clear" w:pos="426"/>
          <w:tab w:val="left" w:pos="567"/>
        </w:tabs>
      </w:pPr>
      <w:r w:rsidRPr="00A8176F">
        <w:lastRenderedPageBreak/>
        <w:t>Hospital discharge is one of the key strategic objectives of most Clinical Commissioning Groups</w:t>
      </w:r>
      <w:r w:rsidR="00750C95">
        <w:t>, especially in Oxfordshire</w:t>
      </w:r>
      <w:r w:rsidRPr="00A8176F">
        <w:t xml:space="preserve">. Delayed discharge is not only expensive, but also potentially dangerous, leaving vulnerable people more exposed to hospital acquired infection. But rapid discharge is only half the story, as </w:t>
      </w:r>
      <w:r w:rsidR="00750C95">
        <w:t xml:space="preserve">it </w:t>
      </w:r>
      <w:r w:rsidRPr="00A8176F">
        <w:t>is now also clear that many vulnerable people are discharged into unsafe home environments which exacerbate their frailties and lead to large numbers of re-admissions to hospital. Th</w:t>
      </w:r>
      <w:r w:rsidR="00750C95">
        <w:t>e</w:t>
      </w:r>
      <w:r w:rsidRPr="00A8176F">
        <w:t xml:space="preserve"> revis</w:t>
      </w:r>
      <w:r w:rsidR="001F284E">
        <w:t xml:space="preserve">ions in the </w:t>
      </w:r>
      <w:r w:rsidRPr="00A8176F">
        <w:t xml:space="preserve">policy </w:t>
      </w:r>
      <w:r w:rsidR="006F7AF4">
        <w:t>aim</w:t>
      </w:r>
      <w:r w:rsidRPr="00A8176F">
        <w:t xml:space="preserve"> to help with some of these issues. </w:t>
      </w:r>
    </w:p>
    <w:p w:rsidR="00082BEC" w:rsidRDefault="00082BEC" w:rsidP="00750C95">
      <w:pPr>
        <w:pStyle w:val="ListParagraph"/>
        <w:tabs>
          <w:tab w:val="clear" w:pos="426"/>
        </w:tabs>
      </w:pPr>
      <w:r w:rsidRPr="00A8176F">
        <w:t>The national mandatory grant programme has been considerably expanded from £220m</w:t>
      </w:r>
      <w:r w:rsidR="0021401A">
        <w:t xml:space="preserve"> in 2015/16 to £431m in 2017/18. </w:t>
      </w:r>
      <w:r w:rsidR="0021401A" w:rsidRPr="00A8176F">
        <w:t xml:space="preserve">Oxford City Council’s DFG Budget </w:t>
      </w:r>
      <w:r w:rsidR="00750C95">
        <w:t xml:space="preserve">allocation </w:t>
      </w:r>
      <w:r w:rsidR="00DF67ED">
        <w:t xml:space="preserve">from the government </w:t>
      </w:r>
      <w:r w:rsidR="0021401A" w:rsidRPr="00A8176F">
        <w:t>has increased from £501</w:t>
      </w:r>
      <w:r w:rsidR="00C67E61">
        <w:t>,000</w:t>
      </w:r>
      <w:r w:rsidR="0021401A" w:rsidRPr="00A8176F">
        <w:t xml:space="preserve"> in 15/16 to £1,062,545 in 17/18. </w:t>
      </w:r>
      <w:r w:rsidR="0021401A">
        <w:t>A</w:t>
      </w:r>
      <w:r w:rsidRPr="00A8176F">
        <w:t xml:space="preserve">n increasing number of authorities </w:t>
      </w:r>
      <w:r w:rsidR="00750C95">
        <w:t>are</w:t>
      </w:r>
      <w:r w:rsidRPr="00A8176F">
        <w:t xml:space="preserve"> updat</w:t>
      </w:r>
      <w:r w:rsidR="00750C95">
        <w:t>ing</w:t>
      </w:r>
      <w:r w:rsidRPr="00A8176F">
        <w:t xml:space="preserve"> their policies to include more innovative </w:t>
      </w:r>
      <w:r w:rsidR="00750C95">
        <w:t xml:space="preserve">ways of </w:t>
      </w:r>
      <w:r w:rsidRPr="00A8176F">
        <w:t>spend</w:t>
      </w:r>
      <w:r w:rsidR="00750C95">
        <w:t>ing</w:t>
      </w:r>
      <w:r w:rsidRPr="00A8176F">
        <w:t xml:space="preserve"> the Disabled Facility Grants (DFG) monies. </w:t>
      </w:r>
    </w:p>
    <w:p w:rsidR="003D418D" w:rsidRDefault="008E1287" w:rsidP="003D418D">
      <w:pPr>
        <w:pStyle w:val="ListParagraph"/>
      </w:pPr>
      <w:r>
        <w:t xml:space="preserve">The proposed amendments to </w:t>
      </w:r>
      <w:r w:rsidR="001048B6" w:rsidRPr="00FC2C41">
        <w:t>our Housing Assistance and Disa</w:t>
      </w:r>
      <w:r>
        <w:t>bled Adaptations Policy reflect</w:t>
      </w:r>
      <w:r w:rsidR="001048B6" w:rsidRPr="00FC2C41">
        <w:t xml:space="preserve"> the aims of the BCF especially around a more joined up approach to supporting hospital discharges and an increase in preventative work reducing admission to hospitals.</w:t>
      </w:r>
      <w:r w:rsidR="00D9603C" w:rsidRPr="00FC2C41">
        <w:t xml:space="preserve"> </w:t>
      </w:r>
      <w:r w:rsidR="003D418D" w:rsidRPr="003D418D">
        <w:t xml:space="preserve">The changes proposed are based on our extensive experience of operating the current scheme, feedback from clients </w:t>
      </w:r>
      <w:proofErr w:type="gramStart"/>
      <w:r w:rsidR="003D418D" w:rsidRPr="003D418D">
        <w:t>and  an</w:t>
      </w:r>
      <w:proofErr w:type="gramEnd"/>
      <w:r w:rsidR="003D418D" w:rsidRPr="003D418D">
        <w:t xml:space="preserve"> analysis of barriers to take up.  They are supported by our partners at the CCG and Adult Social Care.</w:t>
      </w:r>
    </w:p>
    <w:p w:rsidR="006871C4" w:rsidRDefault="001048B6" w:rsidP="003D418D">
      <w:pPr>
        <w:pStyle w:val="ListParagraph"/>
      </w:pPr>
      <w:r w:rsidRPr="00082BEC">
        <w:t>The main changes are to</w:t>
      </w:r>
      <w:r w:rsidR="00227AB8">
        <w:t>:</w:t>
      </w:r>
    </w:p>
    <w:p w:rsidR="00DA2D64" w:rsidRDefault="000E3E65" w:rsidP="00BB03D6">
      <w:pPr>
        <w:pStyle w:val="ListParagraph"/>
        <w:numPr>
          <w:ilvl w:val="0"/>
          <w:numId w:val="38"/>
        </w:numPr>
      </w:pPr>
      <w:r>
        <w:t xml:space="preserve">Create a new </w:t>
      </w:r>
      <w:r w:rsidR="00DA2D64">
        <w:t xml:space="preserve">discretionary </w:t>
      </w:r>
      <w:r>
        <w:t>Adapted Homes Grant with a maximum value of £5,000 that is available for DFG applicants w</w:t>
      </w:r>
      <w:r w:rsidR="008F143D">
        <w:t>ith no</w:t>
      </w:r>
      <w:r>
        <w:t xml:space="preserve"> means test. </w:t>
      </w:r>
      <w:r w:rsidR="00DA2D64">
        <w:t xml:space="preserve">This is to help people who cannot afford to contribute towards the DFG. </w:t>
      </w:r>
      <w:r w:rsidR="00BB03D6" w:rsidRPr="00BB03D6">
        <w:t xml:space="preserve"> </w:t>
      </w:r>
    </w:p>
    <w:p w:rsidR="005F165C" w:rsidRDefault="006871C4" w:rsidP="00BB03D6">
      <w:pPr>
        <w:pStyle w:val="ListParagraph"/>
        <w:numPr>
          <w:ilvl w:val="0"/>
          <w:numId w:val="38"/>
        </w:numPr>
      </w:pPr>
      <w:r>
        <w:t xml:space="preserve">Increase the </w:t>
      </w:r>
      <w:r w:rsidR="000E3E65">
        <w:t>maximum amount for a D</w:t>
      </w:r>
      <w:r>
        <w:t xml:space="preserve">iscretionary </w:t>
      </w:r>
      <w:r w:rsidR="000E3E65">
        <w:t>Disabled Facilities G</w:t>
      </w:r>
      <w:r>
        <w:t xml:space="preserve">rant </w:t>
      </w:r>
      <w:r w:rsidR="005F165C">
        <w:t>to £10,000</w:t>
      </w:r>
      <w:r w:rsidR="0012343F">
        <w:t xml:space="preserve">. </w:t>
      </w:r>
      <w:r w:rsidR="00DA2D64">
        <w:t>This is to help the people on low incomes where the costs ex</w:t>
      </w:r>
      <w:r w:rsidR="00BB03D6" w:rsidRPr="00BB03D6">
        <w:t>ceed the £30K grant maximum.</w:t>
      </w:r>
    </w:p>
    <w:p w:rsidR="006871C4" w:rsidRDefault="005F165C" w:rsidP="006871C4">
      <w:pPr>
        <w:pStyle w:val="ListParagraph"/>
        <w:numPr>
          <w:ilvl w:val="0"/>
          <w:numId w:val="38"/>
        </w:numPr>
      </w:pPr>
      <w:r>
        <w:t>I</w:t>
      </w:r>
      <w:r w:rsidR="001048B6" w:rsidRPr="00082BEC">
        <w:t xml:space="preserve">ntroduce a </w:t>
      </w:r>
      <w:r w:rsidR="00B94C36">
        <w:t xml:space="preserve">new discretionary </w:t>
      </w:r>
      <w:r w:rsidR="001048B6" w:rsidRPr="00082BEC">
        <w:t>Safe and Secure Grant</w:t>
      </w:r>
      <w:r w:rsidR="00D9603C">
        <w:t xml:space="preserve"> </w:t>
      </w:r>
      <w:r w:rsidR="00B94C36">
        <w:t xml:space="preserve">up to a maximum of £1,000 </w:t>
      </w:r>
      <w:r w:rsidR="00D9603C">
        <w:t>to reduce falls to vulnerable people</w:t>
      </w:r>
      <w:r w:rsidR="00B94C36">
        <w:t xml:space="preserve"> and assist with hospital discharge</w:t>
      </w:r>
      <w:r w:rsidR="001048B6" w:rsidRPr="00082BEC">
        <w:t xml:space="preserve">. </w:t>
      </w:r>
    </w:p>
    <w:p w:rsidR="00AA3BBB" w:rsidRDefault="005F165C" w:rsidP="002F3843">
      <w:pPr>
        <w:pStyle w:val="ListParagraph"/>
      </w:pPr>
      <w:r>
        <w:t xml:space="preserve">All these </w:t>
      </w:r>
      <w:r w:rsidR="001048B6" w:rsidRPr="00082BEC">
        <w:t>new initiatives will be funded using BCF money</w:t>
      </w:r>
      <w:r w:rsidR="00BB03D6">
        <w:t>.</w:t>
      </w:r>
      <w:r w:rsidR="001048B6" w:rsidRPr="00082BEC">
        <w:t xml:space="preserve"> </w:t>
      </w:r>
    </w:p>
    <w:p w:rsidR="002F3843" w:rsidRDefault="00AA3BBB" w:rsidP="00AA3BBB">
      <w:pPr>
        <w:pStyle w:val="ListParagraph"/>
      </w:pPr>
      <w:r>
        <w:t xml:space="preserve">Wherever possible Oxford Direct Services will be used to carry out </w:t>
      </w:r>
      <w:r w:rsidR="00FC1BF0">
        <w:t xml:space="preserve">the </w:t>
      </w:r>
      <w:r w:rsidRPr="00AA3BBB">
        <w:t xml:space="preserve">works required </w:t>
      </w:r>
      <w:r>
        <w:t xml:space="preserve">and </w:t>
      </w:r>
      <w:r w:rsidRPr="00AA3BBB">
        <w:t xml:space="preserve">a work programme </w:t>
      </w:r>
      <w:r>
        <w:t xml:space="preserve">agreed </w:t>
      </w:r>
      <w:r w:rsidRPr="00AA3BBB">
        <w:t>to deliver the outcomes</w:t>
      </w:r>
      <w:r>
        <w:t>.</w:t>
      </w:r>
    </w:p>
    <w:p w:rsidR="006B5F92" w:rsidRDefault="006B5F92" w:rsidP="002F3843">
      <w:pPr>
        <w:pStyle w:val="Default"/>
        <w:rPr>
          <w:rFonts w:cs="Times New Roman"/>
          <w:b/>
          <w:color w:val="auto"/>
        </w:rPr>
      </w:pPr>
    </w:p>
    <w:p w:rsidR="002F3843" w:rsidRPr="006B5F92" w:rsidRDefault="00D9603C" w:rsidP="002F3843">
      <w:pPr>
        <w:pStyle w:val="Default"/>
        <w:rPr>
          <w:rFonts w:cs="Times New Roman"/>
          <w:b/>
          <w:color w:val="auto"/>
        </w:rPr>
      </w:pPr>
      <w:r w:rsidRPr="006B5F92">
        <w:rPr>
          <w:rFonts w:cs="Times New Roman"/>
          <w:b/>
          <w:color w:val="auto"/>
        </w:rPr>
        <w:t xml:space="preserve">Needs Analysis </w:t>
      </w:r>
      <w:r w:rsidR="006A499E" w:rsidRPr="006B5F92">
        <w:rPr>
          <w:rFonts w:cs="Times New Roman"/>
          <w:b/>
          <w:color w:val="auto"/>
        </w:rPr>
        <w:t>for the proposed changes</w:t>
      </w:r>
      <w:r w:rsidR="002F3843" w:rsidRPr="006B5F92">
        <w:rPr>
          <w:rFonts w:cs="Times New Roman"/>
          <w:b/>
          <w:color w:val="auto"/>
        </w:rPr>
        <w:t xml:space="preserve"> </w:t>
      </w:r>
    </w:p>
    <w:p w:rsidR="002F3843" w:rsidRDefault="002F3843" w:rsidP="002F3843">
      <w:pPr>
        <w:pStyle w:val="Default"/>
        <w:rPr>
          <w:sz w:val="22"/>
          <w:szCs w:val="22"/>
        </w:rPr>
      </w:pPr>
    </w:p>
    <w:p w:rsidR="00A8176F" w:rsidRPr="000E3E65" w:rsidRDefault="00227AB8" w:rsidP="0012343F">
      <w:pPr>
        <w:pStyle w:val="ListParagraph"/>
        <w:rPr>
          <w:color w:val="auto"/>
        </w:rPr>
      </w:pPr>
      <w:r>
        <w:t xml:space="preserve">The demand for adaptations to keep people in their own homes is increasing. </w:t>
      </w:r>
      <w:r w:rsidR="002F3843">
        <w:t xml:space="preserve">Disability-free life expectancy and healthy life expectancy have been rising more slowly than overall life expectancy, meaning that more people are likely to be living into older age with long term conditions. </w:t>
      </w:r>
      <w:r w:rsidR="002F3843" w:rsidRPr="002F3843">
        <w:rPr>
          <w:color w:val="auto"/>
        </w:rPr>
        <w:t>Disabilities and long term conditions become more prevalent with older age, and are likely to affect more than 44,500 older people in Oxfordshire.</w:t>
      </w:r>
      <w:r w:rsidR="00BE4593" w:rsidRPr="00BE4593">
        <w:rPr>
          <w:color w:val="auto"/>
        </w:rPr>
        <w:t xml:space="preserve"> </w:t>
      </w:r>
      <w:r w:rsidR="00BE4593" w:rsidRPr="00D9603C">
        <w:rPr>
          <w:color w:val="auto"/>
        </w:rPr>
        <w:t>The number of older people in Oxfordshire is expected to grow at twice the rate of the population as a whole</w:t>
      </w:r>
      <w:r w:rsidR="0012343F">
        <w:rPr>
          <w:color w:val="auto"/>
        </w:rPr>
        <w:t xml:space="preserve">. </w:t>
      </w:r>
      <w:r w:rsidR="002F3843" w:rsidRPr="002F3843">
        <w:t>Common conditions likely to affect more than a fifth of older people include hearing loss, high blood pressure, arthritis, and respiratory illness</w:t>
      </w:r>
      <w:r w:rsidR="002F3843" w:rsidRPr="0012343F">
        <w:rPr>
          <w:color w:val="FF0000"/>
        </w:rPr>
        <w:t>.</w:t>
      </w:r>
    </w:p>
    <w:p w:rsidR="00A00F91" w:rsidRDefault="00227AB8" w:rsidP="00A802A4">
      <w:pPr>
        <w:pStyle w:val="ListParagraph"/>
      </w:pPr>
      <w:r>
        <w:lastRenderedPageBreak/>
        <w:t xml:space="preserve">The mandatory DFG is a means tested grant and every year there are applicants referred by the County Council Occupational Therapists who are required to make a contribution towards the adaptations needed to their home. </w:t>
      </w:r>
    </w:p>
    <w:p w:rsidR="00B758D0" w:rsidRPr="00A802A4" w:rsidRDefault="00227AB8" w:rsidP="00A802A4">
      <w:pPr>
        <w:pStyle w:val="ListParagraph"/>
      </w:pPr>
      <w:r>
        <w:t xml:space="preserve">Many of these applicants, particularly the elderly, </w:t>
      </w:r>
      <w:r w:rsidR="006B5F92">
        <w:t xml:space="preserve">go onto </w:t>
      </w:r>
      <w:r>
        <w:t xml:space="preserve">choose not to contribute towards the cost of the works and withdraw their application. </w:t>
      </w:r>
      <w:r w:rsidR="00A802A4" w:rsidRPr="00A802A4">
        <w:t xml:space="preserve">This is mainly because they are </w:t>
      </w:r>
      <w:r w:rsidR="00A802A4">
        <w:t xml:space="preserve">they have limited savings or are </w:t>
      </w:r>
      <w:r w:rsidR="00A802A4" w:rsidRPr="00A802A4">
        <w:t>reluctant to reduce their savings, with the consequential impact on income, to fund the works.</w:t>
      </w:r>
    </w:p>
    <w:p w:rsidR="000E3E65" w:rsidRPr="00C67E61" w:rsidRDefault="00227AB8" w:rsidP="00B758D0">
      <w:pPr>
        <w:pStyle w:val="ListParagraph"/>
        <w:numPr>
          <w:ilvl w:val="0"/>
          <w:numId w:val="0"/>
        </w:numPr>
        <w:ind w:left="502"/>
        <w:rPr>
          <w:color w:val="auto"/>
        </w:rPr>
      </w:pPr>
      <w:r>
        <w:t xml:space="preserve">This means that their quality of life is not improved and the failure to install </w:t>
      </w:r>
      <w:r w:rsidR="00C67E61">
        <w:t xml:space="preserve">necessary </w:t>
      </w:r>
      <w:r>
        <w:t xml:space="preserve">adaptations </w:t>
      </w:r>
      <w:r w:rsidR="00C67E61">
        <w:t xml:space="preserve">can </w:t>
      </w:r>
      <w:r>
        <w:t xml:space="preserve">put them at </w:t>
      </w:r>
      <w:r w:rsidR="006B5F92">
        <w:t xml:space="preserve">potential future risk </w:t>
      </w:r>
      <w:r>
        <w:t xml:space="preserve">of </w:t>
      </w:r>
      <w:r w:rsidR="00824873">
        <w:t xml:space="preserve">injuries and </w:t>
      </w:r>
      <w:r w:rsidR="00C67E61">
        <w:t>worsening health</w:t>
      </w:r>
      <w:r>
        <w:t>. S</w:t>
      </w:r>
      <w:r w:rsidR="000E3E65">
        <w:t>ince April this year we have had 6 DFG applications withdrawn as the applicant could not afford their contribution</w:t>
      </w:r>
      <w:r>
        <w:t>.</w:t>
      </w:r>
    </w:p>
    <w:p w:rsidR="00C67E61" w:rsidRPr="0012343F" w:rsidRDefault="00C67E61" w:rsidP="006B5F92">
      <w:pPr>
        <w:pStyle w:val="ListParagraph"/>
        <w:rPr>
          <w:color w:val="auto"/>
        </w:rPr>
      </w:pPr>
      <w:r>
        <w:t xml:space="preserve">The maximum statutory DFG in England is £30,000. We have on average 8 or 9 cases per year which exceed or are likely to exceed the £30,000 grant maximum. These cases are often complicated </w:t>
      </w:r>
      <w:r w:rsidR="006B5F92">
        <w:t xml:space="preserve">because of the applicant’s particular circumstances </w:t>
      </w:r>
      <w:r>
        <w:t>and involve the construction of major works such as an extension. Currently the Council offers up to £5,000 for a Discretionary DFG and it is proposed to increase this to £10,000 to allow for increased building costs</w:t>
      </w:r>
      <w:r w:rsidR="006B5F92" w:rsidRPr="006B5F92">
        <w:t xml:space="preserve"> and the number of cases coming forward that need a greater degree of intervention to keep people safe at home</w:t>
      </w:r>
      <w:r w:rsidR="006B5F92">
        <w:t xml:space="preserve"> </w:t>
      </w:r>
      <w:r>
        <w:t xml:space="preserve">. </w:t>
      </w:r>
    </w:p>
    <w:p w:rsidR="00C67E61" w:rsidRDefault="0012343F" w:rsidP="00C67E61">
      <w:pPr>
        <w:pStyle w:val="ListParagraph"/>
      </w:pPr>
      <w:r w:rsidRPr="0012343F">
        <w:t>Falls and fall-related injuries are a common and serious problem for older people. People aged 65 and older have the highest risk of falling, with 30% of people older than 65 and 50% of people older than 80 falling at least once a year.</w:t>
      </w:r>
    </w:p>
    <w:p w:rsidR="0012343F" w:rsidRPr="00C67E61" w:rsidRDefault="0012343F" w:rsidP="0012343F">
      <w:pPr>
        <w:pStyle w:val="ListParagraph"/>
      </w:pPr>
      <w:r w:rsidRPr="0012343F">
        <w:rPr>
          <w:color w:val="auto"/>
        </w:rPr>
        <w:t xml:space="preserve">The human cost of falling includes distress, pain, injury, loss of confidence, loss of independence and mortality. Falling also affects the family members and carers of people who fall. </w:t>
      </w:r>
    </w:p>
    <w:p w:rsidR="00C67E61" w:rsidRPr="0012343F" w:rsidRDefault="00C67E61" w:rsidP="00C67E61">
      <w:pPr>
        <w:pStyle w:val="ListParagraph"/>
      </w:pPr>
      <w:r w:rsidRPr="002F3843">
        <w:t>In 2014/15 there were over 2,800 emergency admissions for injuries due to falls among older people in Oxfordshire. Over 700 involved hip fractures.</w:t>
      </w:r>
      <w:r w:rsidRPr="00AE125D">
        <w:t xml:space="preserve"> Oxfordshire had the highest rate of injuries due to falls in the 65+ age group compared to its peers in 2014/15 and the second highest in 2015/16. </w:t>
      </w:r>
      <w:r w:rsidRPr="00C11B4E">
        <w:t xml:space="preserve">Oxfordshire </w:t>
      </w:r>
      <w:r>
        <w:t xml:space="preserve">also </w:t>
      </w:r>
      <w:r w:rsidRPr="00C11B4E">
        <w:t>had the highest rate of injuries due to falls in the 80+ age group compared to its peers in 2014/15 and the second highest in 2015/16.</w:t>
      </w:r>
    </w:p>
    <w:p w:rsidR="0012343F" w:rsidRPr="0012343F" w:rsidRDefault="0012343F" w:rsidP="0012343F">
      <w:pPr>
        <w:pStyle w:val="ListParagraph"/>
      </w:pPr>
      <w:r w:rsidRPr="0012343F">
        <w:rPr>
          <w:color w:val="auto"/>
        </w:rPr>
        <w:t xml:space="preserve">Falls are estimated to cost the NHS more than £2.3 billion per year. </w:t>
      </w:r>
      <w:r w:rsidRPr="00D9603C">
        <w:t>With the number of people aged 65 and over predicted to increase by 2 million by 2021, costs are set to rise further.</w:t>
      </w:r>
      <w:r w:rsidRPr="00C11B4E">
        <w:t xml:space="preserve"> Oxfordshire had a high spend on injuries to the wrist and hand of 65+ nationally in 2014/15. </w:t>
      </w:r>
      <w:r w:rsidRPr="0012343F">
        <w:rPr>
          <w:color w:val="auto"/>
        </w:rPr>
        <w:t>Therefore falling has an impact on quality of life, health and healthcare costs.</w:t>
      </w:r>
    </w:p>
    <w:p w:rsidR="008C2F59" w:rsidRPr="0012343F" w:rsidRDefault="0012343F" w:rsidP="0012343F">
      <w:pPr>
        <w:pStyle w:val="ListParagraph"/>
      </w:pPr>
      <w:r>
        <w:t>In addition to hospital cost</w:t>
      </w:r>
      <w:r w:rsidR="004329FD">
        <w:t>,</w:t>
      </w:r>
      <w:r>
        <w:t xml:space="preserve"> a</w:t>
      </w:r>
      <w:r w:rsidR="008C2F59" w:rsidRPr="0012343F">
        <w:rPr>
          <w:color w:val="auto"/>
        </w:rPr>
        <w:t xml:space="preserve"> </w:t>
      </w:r>
      <w:r>
        <w:rPr>
          <w:color w:val="auto"/>
        </w:rPr>
        <w:t>unique Torbay</w:t>
      </w:r>
      <w:r w:rsidR="008C2F59" w:rsidRPr="0012343F">
        <w:rPr>
          <w:color w:val="auto"/>
        </w:rPr>
        <w:t xml:space="preserve"> study </w:t>
      </w:r>
      <w:r w:rsidR="006B5F92">
        <w:rPr>
          <w:color w:val="auto"/>
        </w:rPr>
        <w:t xml:space="preserve">undertaken by the Kings fund </w:t>
      </w:r>
      <w:r w:rsidR="008C2F59" w:rsidRPr="0012343F">
        <w:rPr>
          <w:color w:val="auto"/>
        </w:rPr>
        <w:t xml:space="preserve">showed that </w:t>
      </w:r>
    </w:p>
    <w:p w:rsidR="008C2F59" w:rsidRPr="0012343F" w:rsidRDefault="008C2F59" w:rsidP="0012343F">
      <w:pPr>
        <w:pStyle w:val="ListParagraph"/>
        <w:numPr>
          <w:ilvl w:val="1"/>
          <w:numId w:val="14"/>
        </w:numPr>
        <w:rPr>
          <w:color w:val="auto"/>
        </w:rPr>
      </w:pPr>
      <w:r w:rsidRPr="0012343F">
        <w:rPr>
          <w:color w:val="auto"/>
        </w:rPr>
        <w:t>On average, the cost of hospital, community and social care services for each patient who fell were almost four times as much in the 12 months after admission for a fall as the costs of the admission itself.</w:t>
      </w:r>
    </w:p>
    <w:p w:rsidR="008C2F59" w:rsidRPr="0012343F" w:rsidRDefault="008C2F59" w:rsidP="0012343F">
      <w:pPr>
        <w:pStyle w:val="ListParagraph"/>
        <w:numPr>
          <w:ilvl w:val="1"/>
          <w:numId w:val="14"/>
        </w:numPr>
        <w:rPr>
          <w:color w:val="auto"/>
        </w:rPr>
      </w:pPr>
      <w:r w:rsidRPr="0012343F">
        <w:rPr>
          <w:color w:val="auto"/>
        </w:rPr>
        <w:t>Over the 12 months that followed admission for falls, costs were 70 per cent higher than in the 12 months before the fall.</w:t>
      </w:r>
    </w:p>
    <w:p w:rsidR="00EA1D4C" w:rsidRDefault="00C11B4E" w:rsidP="004329FD">
      <w:pPr>
        <w:pStyle w:val="ListParagraph"/>
      </w:pPr>
      <w:r w:rsidRPr="00C11B4E">
        <w:t xml:space="preserve">Oxfordshire had fewer than half of patients returning to usual place of residence following </w:t>
      </w:r>
      <w:r w:rsidR="006A499E">
        <w:t xml:space="preserve">a </w:t>
      </w:r>
      <w:r w:rsidRPr="00C11B4E">
        <w:t>fractured femur in 2014/15 and 2015/16</w:t>
      </w:r>
      <w:r w:rsidR="00EA1D4C">
        <w:t xml:space="preserve">, which is </w:t>
      </w:r>
      <w:r w:rsidR="006B5F92">
        <w:t xml:space="preserve">at a </w:t>
      </w:r>
      <w:r w:rsidR="00EA1D4C">
        <w:t>low</w:t>
      </w:r>
      <w:r w:rsidRPr="00C11B4E">
        <w:t xml:space="preserve"> </w:t>
      </w:r>
      <w:r w:rsidR="006B5F92">
        <w:t xml:space="preserve">level </w:t>
      </w:r>
      <w:r w:rsidRPr="00C11B4E">
        <w:t>compared to many CCGs in England.</w:t>
      </w:r>
    </w:p>
    <w:p w:rsidR="00824873" w:rsidRDefault="00824873" w:rsidP="004329FD">
      <w:pPr>
        <w:pStyle w:val="ListParagraph"/>
      </w:pPr>
      <w:r>
        <w:lastRenderedPageBreak/>
        <w:t xml:space="preserve">The </w:t>
      </w:r>
      <w:r w:rsidR="00B94C36">
        <w:t xml:space="preserve">proposed discretionary </w:t>
      </w:r>
      <w:r>
        <w:t xml:space="preserve">Safe and Secure Grant </w:t>
      </w:r>
      <w:r w:rsidR="00B94C36" w:rsidRPr="00EA1D4C">
        <w:t>reflect</w:t>
      </w:r>
      <w:r w:rsidR="00B94C36">
        <w:t>s</w:t>
      </w:r>
      <w:r w:rsidR="00B94C36" w:rsidRPr="00EA1D4C">
        <w:t xml:space="preserve"> these increasing needs and contribute</w:t>
      </w:r>
      <w:r w:rsidR="00B94C36">
        <w:t>s</w:t>
      </w:r>
      <w:r w:rsidR="00B94C36" w:rsidRPr="00EA1D4C">
        <w:t xml:space="preserve"> to the BCF aims of reducing hospital admissions and speeding up hospital discharge.</w:t>
      </w:r>
    </w:p>
    <w:p w:rsidR="00B967F9" w:rsidRPr="00BE4593" w:rsidRDefault="00B967F9" w:rsidP="00B967F9">
      <w:pPr>
        <w:ind w:left="426" w:hanging="426"/>
        <w:rPr>
          <w:b/>
          <w:color w:val="FF0000"/>
        </w:rPr>
      </w:pPr>
      <w:r>
        <w:rPr>
          <w:b/>
        </w:rPr>
        <w:t>Discretionary Housing Assistance</w:t>
      </w:r>
      <w:r w:rsidRPr="00BE4593">
        <w:rPr>
          <w:b/>
        </w:rPr>
        <w:t xml:space="preserve"> </w:t>
      </w:r>
    </w:p>
    <w:p w:rsidR="00B967F9" w:rsidRDefault="00B967F9" w:rsidP="00B967F9">
      <w:pPr>
        <w:pStyle w:val="ListParagraph"/>
      </w:pPr>
      <w:r>
        <w:t>There are no changes proposed to the existing discretionary forms of h</w:t>
      </w:r>
      <w:r w:rsidRPr="00327347">
        <w:t xml:space="preserve">ousing </w:t>
      </w:r>
      <w:r>
        <w:t>a</w:t>
      </w:r>
      <w:r w:rsidRPr="00327347">
        <w:t xml:space="preserve">ssistance </w:t>
      </w:r>
      <w:r>
        <w:t xml:space="preserve">as these remain fit for purpose. </w:t>
      </w:r>
    </w:p>
    <w:p w:rsidR="008E00F4" w:rsidRDefault="008E00F4" w:rsidP="00385147">
      <w:pPr>
        <w:pStyle w:val="ListParagraph"/>
      </w:pPr>
      <w:r>
        <w:t xml:space="preserve">Since 2008 the Council has been a member of a consortium of 17 local authorities that created a not-for-profit company called Flexible Home Improvement Loans Ltd. The company now offers </w:t>
      </w:r>
      <w:r w:rsidR="00385147">
        <w:t xml:space="preserve">a </w:t>
      </w:r>
      <w:r>
        <w:t>loan designed to get em</w:t>
      </w:r>
      <w:r w:rsidR="00385147">
        <w:t>pty homes back into use and this</w:t>
      </w:r>
      <w:r>
        <w:t xml:space="preserve"> ha</w:t>
      </w:r>
      <w:r w:rsidR="00385147">
        <w:t xml:space="preserve">s </w:t>
      </w:r>
      <w:r>
        <w:t>been added to the policy.</w:t>
      </w:r>
      <w:r w:rsidR="00385147">
        <w:t xml:space="preserve"> The empty homes loan is a </w:t>
      </w:r>
      <w:r w:rsidR="00385147" w:rsidRPr="00385147">
        <w:t>5 year, flexible, bridging finance secured by a first charge on the property. The loan, plus outstanding interest, must be repaid on the fifth anniversary of making the loan, or if the property is sold, whichever occurs first</w:t>
      </w:r>
      <w:r w:rsidR="00385147">
        <w:t>.</w:t>
      </w:r>
    </w:p>
    <w:p w:rsidR="00A8176F" w:rsidRPr="00BE4593" w:rsidRDefault="00C85B4E" w:rsidP="00BE4593">
      <w:pPr>
        <w:ind w:left="426" w:hanging="426"/>
        <w:rPr>
          <w:b/>
          <w:color w:val="FF0000"/>
        </w:rPr>
      </w:pPr>
      <w:r w:rsidRPr="00BE4593">
        <w:rPr>
          <w:b/>
        </w:rPr>
        <w:t>C</w:t>
      </w:r>
      <w:r w:rsidR="00E87F7A" w:rsidRPr="00BE4593">
        <w:rPr>
          <w:b/>
        </w:rPr>
        <w:t xml:space="preserve">onsultation and communications </w:t>
      </w:r>
    </w:p>
    <w:p w:rsidR="003035D1" w:rsidRDefault="00EA1D4C" w:rsidP="00C67E61">
      <w:pPr>
        <w:pStyle w:val="ListParagraph"/>
      </w:pPr>
      <w:r>
        <w:t>It is proposed that t</w:t>
      </w:r>
      <w:r w:rsidR="00BB5DB3" w:rsidRPr="00327347">
        <w:t xml:space="preserve">he Housing Assistance </w:t>
      </w:r>
      <w:r>
        <w:t xml:space="preserve">and Disabled Adaptation Policy </w:t>
      </w:r>
      <w:proofErr w:type="gramStart"/>
      <w:r>
        <w:t>goes</w:t>
      </w:r>
      <w:proofErr w:type="gramEnd"/>
      <w:r w:rsidR="00BB5DB3" w:rsidRPr="00327347">
        <w:t xml:space="preserve"> out for </w:t>
      </w:r>
      <w:r w:rsidR="00A8176F" w:rsidRPr="00327347">
        <w:t xml:space="preserve">consultation </w:t>
      </w:r>
      <w:r w:rsidR="00327347" w:rsidRPr="00327347">
        <w:t>Tuesday 17th Oct</w:t>
      </w:r>
      <w:r w:rsidR="00C67E61">
        <w:t>ober</w:t>
      </w:r>
      <w:r w:rsidR="00327347" w:rsidRPr="00327347">
        <w:t xml:space="preserve">. </w:t>
      </w:r>
      <w:r w:rsidR="00C67E61">
        <w:t>The r</w:t>
      </w:r>
      <w:r w:rsidR="00A8176F" w:rsidRPr="00327347">
        <w:t>esults will be used to report back to Members at C</w:t>
      </w:r>
      <w:r w:rsidR="00C67E61">
        <w:t xml:space="preserve">ity </w:t>
      </w:r>
      <w:r w:rsidR="00A8176F" w:rsidRPr="00327347">
        <w:t>E</w:t>
      </w:r>
      <w:r w:rsidR="00C67E61">
        <w:t xml:space="preserve">xecutive </w:t>
      </w:r>
      <w:r w:rsidR="00A8176F" w:rsidRPr="00327347">
        <w:t>B</w:t>
      </w:r>
      <w:r w:rsidR="00C67E61">
        <w:t>oard</w:t>
      </w:r>
      <w:r w:rsidR="00A8176F" w:rsidRPr="00327347">
        <w:t xml:space="preserve"> </w:t>
      </w:r>
      <w:r w:rsidR="00327347" w:rsidRPr="00327347">
        <w:t xml:space="preserve">on Tuesday 23 January 2018, </w:t>
      </w:r>
      <w:r w:rsidR="00A8176F" w:rsidRPr="00327347">
        <w:t xml:space="preserve">with recommendations </w:t>
      </w:r>
      <w:r>
        <w:t>for approval.</w:t>
      </w:r>
    </w:p>
    <w:p w:rsidR="0040736F" w:rsidRPr="001356F1" w:rsidRDefault="002329CF" w:rsidP="004A6D2F">
      <w:pPr>
        <w:pStyle w:val="Heading1"/>
      </w:pPr>
      <w:r w:rsidRPr="001356F1">
        <w:t>Financial implications</w:t>
      </w:r>
    </w:p>
    <w:p w:rsidR="00BC2B5A" w:rsidRDefault="004C2502" w:rsidP="00385147">
      <w:pPr>
        <w:pStyle w:val="ListParagraph"/>
      </w:pPr>
      <w:r w:rsidRPr="004C2502">
        <w:t>The Council is</w:t>
      </w:r>
      <w:r w:rsidR="00A802A4">
        <w:t xml:space="preserve"> duty bound to approve complete</w:t>
      </w:r>
      <w:r w:rsidRPr="004C2502">
        <w:t xml:space="preserve"> mandatory Disabled Facilities Grants (DFG) applications. </w:t>
      </w:r>
      <w:r w:rsidR="00385147">
        <w:t xml:space="preserve">The </w:t>
      </w:r>
      <w:r w:rsidR="00BC2B5A">
        <w:t xml:space="preserve">Council </w:t>
      </w:r>
      <w:r w:rsidR="00385147">
        <w:t xml:space="preserve">has not </w:t>
      </w:r>
      <w:r w:rsidR="00A802A4">
        <w:t xml:space="preserve">had to </w:t>
      </w:r>
      <w:r w:rsidR="00BC2B5A">
        <w:t>contribute towards the DFG budget</w:t>
      </w:r>
      <w:r w:rsidR="00BC2B5A" w:rsidRPr="004C2502">
        <w:t xml:space="preserve"> </w:t>
      </w:r>
      <w:r w:rsidR="00385147">
        <w:t xml:space="preserve">since 2015 as </w:t>
      </w:r>
      <w:r w:rsidR="00611FA8">
        <w:t xml:space="preserve">all </w:t>
      </w:r>
      <w:r w:rsidRPr="004C2502">
        <w:t xml:space="preserve">the funding for DFG </w:t>
      </w:r>
      <w:r w:rsidR="00A802A4">
        <w:t xml:space="preserve">now </w:t>
      </w:r>
      <w:r w:rsidRPr="004C2502">
        <w:t>comes from the BCF</w:t>
      </w:r>
      <w:r w:rsidR="00385147">
        <w:t>.</w:t>
      </w:r>
      <w:r w:rsidRPr="004C2502">
        <w:t xml:space="preserve"> The expectation is that the increased funding will be used in innovative ways to meet the aims of the BCF to reduce costs especially around hospital admissions and delayed discharge. </w:t>
      </w:r>
      <w:r w:rsidR="00611FA8">
        <w:t xml:space="preserve">The primary reason for updating the policy is to enable the council to fully spend and commit its funding allocation under the BCF. </w:t>
      </w:r>
      <w:r w:rsidR="00385147" w:rsidRPr="00BA7C21">
        <w:t>T</w:t>
      </w:r>
      <w:r w:rsidR="00611FA8" w:rsidRPr="00BA7C21">
        <w:t xml:space="preserve">he </w:t>
      </w:r>
      <w:r w:rsidR="00385147" w:rsidRPr="00BA7C21">
        <w:t xml:space="preserve">CEB will be informed so we can plan how to </w:t>
      </w:r>
      <w:r w:rsidRPr="00BA7C21">
        <w:t xml:space="preserve">meet </w:t>
      </w:r>
      <w:r w:rsidR="00BA7C21" w:rsidRPr="00BA7C21">
        <w:t>our</w:t>
      </w:r>
      <w:r w:rsidRPr="00BA7C21">
        <w:t xml:space="preserve"> mandatory DFG duty</w:t>
      </w:r>
      <w:r w:rsidR="00BA7C21" w:rsidRPr="00BA7C21">
        <w:t xml:space="preserve"> i</w:t>
      </w:r>
      <w:r w:rsidR="00BA7C21">
        <w:t>n the future</w:t>
      </w:r>
      <w:r w:rsidRPr="004C2502">
        <w:t xml:space="preserve">. </w:t>
      </w:r>
    </w:p>
    <w:p w:rsidR="0058272E" w:rsidRDefault="00B94C36" w:rsidP="00385147">
      <w:pPr>
        <w:pStyle w:val="ListParagraph"/>
      </w:pPr>
      <w:r>
        <w:t>No additional staff will be required to deliver the proposed changes</w:t>
      </w:r>
      <w:r w:rsidR="00385147" w:rsidRPr="00385147">
        <w:t xml:space="preserve"> </w:t>
      </w:r>
      <w:r w:rsidR="00385147">
        <w:t>as t</w:t>
      </w:r>
      <w:r w:rsidR="00385147" w:rsidRPr="00385147">
        <w:t>he costs of management and administration of the grants are covered by the fund</w:t>
      </w:r>
      <w:r>
        <w:t xml:space="preserve">. </w:t>
      </w:r>
    </w:p>
    <w:p w:rsidR="00BC2B5A" w:rsidRDefault="00BC2B5A" w:rsidP="00FC2C41">
      <w:pPr>
        <w:pStyle w:val="ListParagraph"/>
      </w:pPr>
      <w:r>
        <w:t>The future budget for discretionary housing assistance has yet to be decided and will form part of the 2018/19 budget process.</w:t>
      </w:r>
    </w:p>
    <w:p w:rsidR="00E87F7A" w:rsidRDefault="00DA614B" w:rsidP="00B758D0">
      <w:pPr>
        <w:pStyle w:val="Heading1"/>
        <w:spacing w:after="0"/>
      </w:pPr>
      <w:r w:rsidRPr="001356F1">
        <w:t>Legal issues</w:t>
      </w:r>
    </w:p>
    <w:p w:rsidR="00206520" w:rsidRPr="00206520" w:rsidRDefault="00206520" w:rsidP="00B758D0">
      <w:pPr>
        <w:pStyle w:val="ListParagraph"/>
        <w:spacing w:after="0"/>
      </w:pPr>
      <w:r>
        <w:t>No</w:t>
      </w:r>
      <w:r w:rsidR="004C2502">
        <w:t xml:space="preserve"> legal issues have been identified.</w:t>
      </w:r>
    </w:p>
    <w:p w:rsidR="00B758D0" w:rsidRDefault="00B758D0" w:rsidP="00B758D0">
      <w:pPr>
        <w:pStyle w:val="Heading1"/>
        <w:spacing w:before="0" w:after="0"/>
      </w:pPr>
    </w:p>
    <w:p w:rsidR="002329CF" w:rsidRPr="001356F1" w:rsidRDefault="002329CF" w:rsidP="00B758D0">
      <w:pPr>
        <w:pStyle w:val="Heading1"/>
        <w:spacing w:before="0" w:after="0"/>
      </w:pPr>
      <w:r w:rsidRPr="001356F1">
        <w:t>Level of risk</w:t>
      </w:r>
    </w:p>
    <w:p w:rsidR="00B30334" w:rsidRDefault="00B30334" w:rsidP="00B758D0">
      <w:pPr>
        <w:pStyle w:val="Heading1"/>
        <w:spacing w:before="0" w:after="0"/>
        <w:rPr>
          <w:b w:val="0"/>
        </w:rPr>
      </w:pPr>
      <w:r w:rsidRPr="00B758D0">
        <w:rPr>
          <w:b w:val="0"/>
        </w:rPr>
        <w:t xml:space="preserve">A risk register is attached as Appendix 3. </w:t>
      </w:r>
    </w:p>
    <w:p w:rsidR="00B758D0" w:rsidRPr="00B758D0" w:rsidRDefault="00B758D0" w:rsidP="00B758D0"/>
    <w:p w:rsidR="00B30334" w:rsidRPr="00B758D0" w:rsidRDefault="00B30334" w:rsidP="00B758D0">
      <w:pPr>
        <w:pStyle w:val="Heading1"/>
        <w:spacing w:before="0" w:after="0"/>
      </w:pPr>
      <w:r w:rsidRPr="00B30334">
        <w:t xml:space="preserve">Equality Impact Assessment  </w:t>
      </w:r>
    </w:p>
    <w:p w:rsidR="002329CF" w:rsidRDefault="00B30334" w:rsidP="00B758D0">
      <w:pPr>
        <w:pStyle w:val="Heading1"/>
        <w:spacing w:before="0" w:after="0"/>
        <w:rPr>
          <w:b w:val="0"/>
        </w:rPr>
      </w:pPr>
      <w:r w:rsidRPr="00B758D0">
        <w:rPr>
          <w:b w:val="0"/>
        </w:rPr>
        <w:t>An EIA has been completed and attached as Appendix 4</w:t>
      </w:r>
    </w:p>
    <w:p w:rsidR="00054A8F" w:rsidRDefault="00054A8F" w:rsidP="00054A8F"/>
    <w:p w:rsidR="00054A8F" w:rsidRDefault="00054A8F" w:rsidP="00054A8F"/>
    <w:p w:rsidR="00054A8F" w:rsidRPr="00054A8F" w:rsidRDefault="00054A8F" w:rsidP="00054A8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lastRenderedPageBreak/>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CA2235" w:rsidP="00A46E98">
            <w:r>
              <w:t>Becky Bell</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F962D2" w:rsidP="00A46E98">
            <w:r>
              <w:t>HIA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F962D2" w:rsidP="00A46E98">
            <w:r w:rsidRPr="00F962D2">
              <w:t>Planning, Sustainable Development and Regulatory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F962D2" w:rsidP="00A46E98">
            <w:r>
              <w:t xml:space="preserve">01865 </w:t>
            </w:r>
            <w:r w:rsidRPr="00F962D2">
              <w:t>529192</w:t>
            </w:r>
            <w:r w:rsidR="00E87F7A"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F962D2" w:rsidP="00A46E98">
            <w:pPr>
              <w:rPr>
                <w:rStyle w:val="Hyperlink"/>
                <w:color w:val="000000"/>
              </w:rPr>
            </w:pPr>
            <w:r>
              <w:rPr>
                <w:rStyle w:val="Hyperlink"/>
                <w:color w:val="000000"/>
              </w:rPr>
              <w:t>rbell@oxford.gov.uk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
        <w:gridCol w:w="9117"/>
      </w:tblGrid>
      <w:tr w:rsidR="00DF093E" w:rsidRPr="001356F1" w:rsidTr="00841D0B">
        <w:tc>
          <w:tcPr>
            <w:tcW w:w="9406" w:type="dxa"/>
            <w:gridSpan w:val="2"/>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Background Papers:</w:t>
            </w:r>
          </w:p>
        </w:tc>
      </w:tr>
      <w:tr w:rsidR="00DF093E" w:rsidRPr="001356F1" w:rsidTr="00841D0B">
        <w:tc>
          <w:tcPr>
            <w:tcW w:w="289" w:type="dxa"/>
            <w:tcBorders>
              <w:top w:val="single" w:sz="8" w:space="0" w:color="000000"/>
              <w:left w:val="single" w:sz="8" w:space="0" w:color="000000"/>
              <w:bottom w:val="nil"/>
              <w:right w:val="nil"/>
            </w:tcBorders>
            <w:shd w:val="clear" w:color="auto" w:fill="auto"/>
          </w:tcPr>
          <w:p w:rsidR="0093067A" w:rsidRPr="001356F1" w:rsidRDefault="00182B81" w:rsidP="00F41AC1">
            <w:r w:rsidRPr="001356F1">
              <w:t>1</w:t>
            </w:r>
          </w:p>
        </w:tc>
        <w:tc>
          <w:tcPr>
            <w:tcW w:w="9117" w:type="dxa"/>
            <w:tcBorders>
              <w:top w:val="single" w:sz="8" w:space="0" w:color="000000"/>
              <w:left w:val="nil"/>
              <w:bottom w:val="nil"/>
              <w:right w:val="single" w:sz="8" w:space="0" w:color="000000"/>
            </w:tcBorders>
          </w:tcPr>
          <w:p w:rsidR="0093067A" w:rsidRPr="001356F1" w:rsidRDefault="00F67C66" w:rsidP="005D0621">
            <w:hyperlink r:id="rId9" w:history="1">
              <w:r w:rsidR="00841D0B" w:rsidRPr="00A45AF7">
                <w:rPr>
                  <w:rStyle w:val="Hyperlink"/>
                </w:rPr>
                <w:t>http://insight.oxfordshire.gov.uk/cms/system/files/documents/20160329_Needs%20Analysis%20for%20Older%20People%20in%20Oxfordshire_FINAL.pdf</w:t>
              </w:r>
            </w:hyperlink>
          </w:p>
        </w:tc>
      </w:tr>
      <w:tr w:rsidR="00DF093E" w:rsidRPr="001356F1" w:rsidTr="00841D0B">
        <w:tc>
          <w:tcPr>
            <w:tcW w:w="289" w:type="dxa"/>
            <w:tcBorders>
              <w:top w:val="nil"/>
              <w:left w:val="single" w:sz="8" w:space="0" w:color="000000"/>
              <w:bottom w:val="nil"/>
              <w:right w:val="nil"/>
            </w:tcBorders>
            <w:shd w:val="clear" w:color="auto" w:fill="auto"/>
          </w:tcPr>
          <w:p w:rsidR="0093067A" w:rsidRPr="001356F1" w:rsidRDefault="00182B81" w:rsidP="00F41AC1">
            <w:r w:rsidRPr="001356F1">
              <w:t>2</w:t>
            </w:r>
          </w:p>
        </w:tc>
        <w:tc>
          <w:tcPr>
            <w:tcW w:w="9117" w:type="dxa"/>
            <w:tcBorders>
              <w:top w:val="nil"/>
              <w:left w:val="nil"/>
              <w:bottom w:val="nil"/>
              <w:right w:val="single" w:sz="8" w:space="0" w:color="000000"/>
            </w:tcBorders>
          </w:tcPr>
          <w:p w:rsidR="008C2F59" w:rsidRPr="001356F1" w:rsidRDefault="00F67C66" w:rsidP="00F41AC1">
            <w:hyperlink r:id="rId10" w:history="1">
              <w:r w:rsidR="00841D0B" w:rsidRPr="00A45AF7">
                <w:rPr>
                  <w:rStyle w:val="Hyperlink"/>
                </w:rPr>
                <w:t>http://www.foundations.uk.com/media/4718/preparing-a-policy-under-the-regulatory-reform-order-formatted.pdf</w:t>
              </w:r>
            </w:hyperlink>
          </w:p>
        </w:tc>
      </w:tr>
      <w:tr w:rsidR="00DF093E" w:rsidRPr="001356F1" w:rsidTr="00841D0B">
        <w:tc>
          <w:tcPr>
            <w:tcW w:w="289" w:type="dxa"/>
            <w:tcBorders>
              <w:top w:val="nil"/>
              <w:left w:val="single" w:sz="8" w:space="0" w:color="000000"/>
              <w:bottom w:val="nil"/>
              <w:right w:val="nil"/>
            </w:tcBorders>
            <w:shd w:val="clear" w:color="auto" w:fill="auto"/>
          </w:tcPr>
          <w:p w:rsidR="0093067A" w:rsidRPr="001356F1" w:rsidRDefault="00182B81" w:rsidP="00F41AC1">
            <w:r w:rsidRPr="001356F1">
              <w:t>3</w:t>
            </w:r>
          </w:p>
        </w:tc>
        <w:tc>
          <w:tcPr>
            <w:tcW w:w="9117" w:type="dxa"/>
            <w:tcBorders>
              <w:top w:val="nil"/>
              <w:left w:val="nil"/>
              <w:bottom w:val="nil"/>
              <w:right w:val="single" w:sz="8" w:space="0" w:color="000000"/>
            </w:tcBorders>
          </w:tcPr>
          <w:p w:rsidR="00841D0B" w:rsidRPr="001356F1" w:rsidRDefault="00F67C66" w:rsidP="00F41AC1">
            <w:hyperlink r:id="rId11" w:history="1">
              <w:r w:rsidR="00841D0B" w:rsidRPr="00A45AF7">
                <w:rPr>
                  <w:rStyle w:val="Hyperlink"/>
                </w:rPr>
                <w:t>https://www.kingsfund.org.uk/sites/default/files/field/field_publication_file/exploring-system-wide-costs-of-falls-in-torbay-kingsfund-aug13.pdf</w:t>
              </w:r>
            </w:hyperlink>
          </w:p>
        </w:tc>
      </w:tr>
      <w:tr w:rsidR="005570B5" w:rsidRPr="00A46E98" w:rsidTr="001F3308">
        <w:tc>
          <w:tcPr>
            <w:tcW w:w="289" w:type="dxa"/>
            <w:tcBorders>
              <w:top w:val="nil"/>
              <w:left w:val="single" w:sz="8" w:space="0" w:color="000000"/>
              <w:bottom w:val="nil"/>
              <w:right w:val="nil"/>
            </w:tcBorders>
            <w:shd w:val="clear" w:color="auto" w:fill="auto"/>
          </w:tcPr>
          <w:p w:rsidR="0093067A" w:rsidRPr="00A46E98" w:rsidRDefault="00182B81" w:rsidP="00F41AC1">
            <w:r w:rsidRPr="00A46E98">
              <w:t>4</w:t>
            </w:r>
          </w:p>
        </w:tc>
        <w:tc>
          <w:tcPr>
            <w:tcW w:w="9117" w:type="dxa"/>
            <w:tcBorders>
              <w:top w:val="nil"/>
              <w:left w:val="nil"/>
              <w:bottom w:val="nil"/>
              <w:right w:val="single" w:sz="8" w:space="0" w:color="000000"/>
            </w:tcBorders>
          </w:tcPr>
          <w:p w:rsidR="00841D0B" w:rsidRPr="00A46E98" w:rsidRDefault="00F67C66" w:rsidP="00841D0B">
            <w:hyperlink r:id="rId12" w:history="1">
              <w:r w:rsidR="00841D0B" w:rsidRPr="00A45AF7">
                <w:rPr>
                  <w:rStyle w:val="Hyperlink"/>
                </w:rPr>
                <w:t>https://www.rcn.org.uk/-/media/royal-college-of-nursing/documents/publications/2007/november/pub-002771.pdf</w:t>
              </w:r>
            </w:hyperlink>
          </w:p>
        </w:tc>
      </w:tr>
      <w:tr w:rsidR="00841D0B" w:rsidRPr="00A46E98" w:rsidTr="001F3308">
        <w:tc>
          <w:tcPr>
            <w:tcW w:w="289" w:type="dxa"/>
            <w:tcBorders>
              <w:top w:val="nil"/>
              <w:left w:val="single" w:sz="8" w:space="0" w:color="000000"/>
              <w:bottom w:val="single" w:sz="4" w:space="0" w:color="auto"/>
              <w:right w:val="nil"/>
            </w:tcBorders>
            <w:shd w:val="clear" w:color="auto" w:fill="auto"/>
          </w:tcPr>
          <w:p w:rsidR="00841D0B" w:rsidRPr="00A46E98" w:rsidRDefault="00841D0B" w:rsidP="00F41AC1">
            <w:r>
              <w:t>5</w:t>
            </w:r>
          </w:p>
        </w:tc>
        <w:tc>
          <w:tcPr>
            <w:tcW w:w="9117" w:type="dxa"/>
            <w:tcBorders>
              <w:top w:val="nil"/>
              <w:left w:val="nil"/>
              <w:bottom w:val="single" w:sz="4" w:space="0" w:color="auto"/>
              <w:right w:val="single" w:sz="8" w:space="0" w:color="000000"/>
            </w:tcBorders>
          </w:tcPr>
          <w:p w:rsidR="000E62B3" w:rsidRDefault="00F67C66" w:rsidP="00841D0B">
            <w:pPr>
              <w:rPr>
                <w:rStyle w:val="Hyperlink"/>
              </w:rPr>
            </w:pPr>
            <w:hyperlink r:id="rId13" w:history="1">
              <w:r w:rsidR="000E62B3" w:rsidRPr="00D963FC">
                <w:rPr>
                  <w:rStyle w:val="Hyperlink"/>
                </w:rPr>
                <w:t>https://www.england.nhs.uk/wp-content/uploads/2017/08/bcf-planning-requirements-faqs.pdf</w:t>
              </w:r>
            </w:hyperlink>
          </w:p>
          <w:p w:rsidR="001F3308" w:rsidRDefault="001F3308" w:rsidP="00841D0B"/>
        </w:tc>
      </w:tr>
    </w:tbl>
    <w:p w:rsidR="00CE4C87" w:rsidRDefault="00CE4C87" w:rsidP="0093067A"/>
    <w:p w:rsidR="004456DD" w:rsidRPr="009E51FC" w:rsidRDefault="004456DD" w:rsidP="00DD2067"/>
    <w:sectPr w:rsidR="004456DD" w:rsidRPr="009E51FC" w:rsidSect="00BC200B">
      <w:footerReference w:type="even" r:id="rId14"/>
      <w:headerReference w:type="first" r:id="rId15"/>
      <w:footerReference w:type="first" r:id="rId16"/>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851" w:rsidRDefault="00841851" w:rsidP="004A6D2F">
      <w:r>
        <w:separator/>
      </w:r>
    </w:p>
  </w:endnote>
  <w:endnote w:type="continuationSeparator" w:id="0">
    <w:p w:rsidR="00841851" w:rsidRDefault="00841851"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851" w:rsidRDefault="00841851" w:rsidP="004A6D2F">
      <w:r>
        <w:separator/>
      </w:r>
    </w:p>
  </w:footnote>
  <w:footnote w:type="continuationSeparator" w:id="0">
    <w:p w:rsidR="00841851" w:rsidRDefault="00841851"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E80368"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lvlText w:val="%1."/>
      <w:lvlJc w:val="left"/>
      <w:pPr>
        <w:ind w:left="502"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3543192"/>
    <w:multiLevelType w:val="hybridMultilevel"/>
    <w:tmpl w:val="E3AA74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6211F51"/>
    <w:multiLevelType w:val="hybridMultilevel"/>
    <w:tmpl w:val="6208653C"/>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5">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1782F5C"/>
    <w:multiLevelType w:val="hybridMultilevel"/>
    <w:tmpl w:val="32568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ABA5FD8"/>
    <w:multiLevelType w:val="multilevel"/>
    <w:tmpl w:val="43D6D2FA"/>
    <w:numStyleLink w:val="StyleBulletedSymbolsymbolLeft063cmHanging063cm"/>
  </w:abstractNum>
  <w:abstractNum w:abstractNumId="3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A22831"/>
    <w:multiLevelType w:val="multilevel"/>
    <w:tmpl w:val="43D6D2FA"/>
    <w:numStyleLink w:val="StyleBulletedSymbolsymbolLeft063cmHanging063cm"/>
  </w:abstractNum>
  <w:abstractNum w:abstractNumId="32">
    <w:nsid w:val="6753349A"/>
    <w:multiLevelType w:val="hybridMultilevel"/>
    <w:tmpl w:val="82986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EF91519"/>
    <w:multiLevelType w:val="hybridMultilevel"/>
    <w:tmpl w:val="21262C1E"/>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6">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7E260EA"/>
    <w:multiLevelType w:val="multilevel"/>
    <w:tmpl w:val="709EEEEE"/>
    <w:lvl w:ilvl="0">
      <w:start w:val="1"/>
      <w:numFmt w:val="bullet"/>
      <w:lvlText w:val=""/>
      <w:lvlJc w:val="left"/>
      <w:pPr>
        <w:ind w:left="720" w:hanging="360"/>
      </w:pPr>
      <w:rPr>
        <w:rFonts w:ascii="Symbol" w:hAnsi="Symbol" w:hint="default"/>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98365C6"/>
    <w:multiLevelType w:val="multilevel"/>
    <w:tmpl w:val="FD0444F4"/>
    <w:lvl w:ilvl="0">
      <w:start w:val="1"/>
      <w:numFmt w:val="decimal"/>
      <w:pStyle w:val="ListParagraph"/>
      <w:lvlText w:val="%1."/>
      <w:lvlJc w:val="left"/>
      <w:pPr>
        <w:ind w:left="502" w:hanging="360"/>
      </w:pPr>
      <w:rPr>
        <w:rFonts w:ascii="Arial" w:hAnsi="Arial" w:hint="default"/>
        <w:b w:val="0"/>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28"/>
  </w:num>
  <w:num w:numId="2">
    <w:abstractNumId w:val="34"/>
  </w:num>
  <w:num w:numId="3">
    <w:abstractNumId w:val="23"/>
  </w:num>
  <w:num w:numId="4">
    <w:abstractNumId w:val="18"/>
  </w:num>
  <w:num w:numId="5">
    <w:abstractNumId w:val="30"/>
  </w:num>
  <w:num w:numId="6">
    <w:abstractNumId w:val="36"/>
  </w:num>
  <w:num w:numId="7">
    <w:abstractNumId w:val="22"/>
  </w:num>
  <w:num w:numId="8">
    <w:abstractNumId w:val="19"/>
  </w:num>
  <w:num w:numId="9">
    <w:abstractNumId w:val="13"/>
  </w:num>
  <w:num w:numId="10">
    <w:abstractNumId w:val="15"/>
  </w:num>
  <w:num w:numId="11">
    <w:abstractNumId w:val="26"/>
  </w:num>
  <w:num w:numId="12">
    <w:abstractNumId w:val="25"/>
  </w:num>
  <w:num w:numId="13">
    <w:abstractNumId w:val="10"/>
  </w:num>
  <w:num w:numId="14">
    <w:abstractNumId w:val="38"/>
  </w:num>
  <w:num w:numId="15">
    <w:abstractNumId w:val="16"/>
  </w:num>
  <w:num w:numId="16">
    <w:abstractNumId w:val="11"/>
  </w:num>
  <w:num w:numId="17">
    <w:abstractNumId w:val="29"/>
  </w:num>
  <w:num w:numId="18">
    <w:abstractNumId w:val="12"/>
  </w:num>
  <w:num w:numId="19">
    <w:abstractNumId w:val="31"/>
  </w:num>
  <w:num w:numId="20">
    <w:abstractNumId w:val="17"/>
  </w:num>
  <w:num w:numId="21">
    <w:abstractNumId w:val="20"/>
  </w:num>
  <w:num w:numId="22">
    <w:abstractNumId w:val="14"/>
  </w:num>
  <w:num w:numId="23">
    <w:abstractNumId w:val="33"/>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7"/>
  </w:num>
  <w:num w:numId="35">
    <w:abstractNumId w:val="21"/>
  </w:num>
  <w:num w:numId="36">
    <w:abstractNumId w:val="27"/>
  </w:num>
  <w:num w:numId="37">
    <w:abstractNumId w:val="32"/>
  </w:num>
  <w:num w:numId="38">
    <w:abstractNumId w:val="24"/>
  </w:num>
  <w:num w:numId="39">
    <w:abstractNumId w:val="35"/>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68"/>
    <w:rsid w:val="000117D4"/>
    <w:rsid w:val="000314D7"/>
    <w:rsid w:val="00045F8B"/>
    <w:rsid w:val="00046D2B"/>
    <w:rsid w:val="00054A8F"/>
    <w:rsid w:val="00056263"/>
    <w:rsid w:val="00064D8A"/>
    <w:rsid w:val="00064F82"/>
    <w:rsid w:val="00066510"/>
    <w:rsid w:val="00077523"/>
    <w:rsid w:val="00082BEC"/>
    <w:rsid w:val="000C089F"/>
    <w:rsid w:val="000C3928"/>
    <w:rsid w:val="000C5E8E"/>
    <w:rsid w:val="000D76B3"/>
    <w:rsid w:val="000E3E65"/>
    <w:rsid w:val="000E62B3"/>
    <w:rsid w:val="000F4751"/>
    <w:rsid w:val="001048B6"/>
    <w:rsid w:val="0010524C"/>
    <w:rsid w:val="00111FB1"/>
    <w:rsid w:val="00113418"/>
    <w:rsid w:val="0012343F"/>
    <w:rsid w:val="001356F1"/>
    <w:rsid w:val="00136994"/>
    <w:rsid w:val="0014128E"/>
    <w:rsid w:val="00151888"/>
    <w:rsid w:val="00170A2D"/>
    <w:rsid w:val="001808BC"/>
    <w:rsid w:val="00182B81"/>
    <w:rsid w:val="0018619D"/>
    <w:rsid w:val="00195F50"/>
    <w:rsid w:val="001A011E"/>
    <w:rsid w:val="001A066A"/>
    <w:rsid w:val="001A13E6"/>
    <w:rsid w:val="001A5731"/>
    <w:rsid w:val="001B42C3"/>
    <w:rsid w:val="001C5D5E"/>
    <w:rsid w:val="001D678D"/>
    <w:rsid w:val="001E03F8"/>
    <w:rsid w:val="001E1678"/>
    <w:rsid w:val="001E3376"/>
    <w:rsid w:val="001F284E"/>
    <w:rsid w:val="001F3308"/>
    <w:rsid w:val="00206520"/>
    <w:rsid w:val="002069B3"/>
    <w:rsid w:val="0021401A"/>
    <w:rsid w:val="00227AB8"/>
    <w:rsid w:val="002329CF"/>
    <w:rsid w:val="00232F5B"/>
    <w:rsid w:val="00247C29"/>
    <w:rsid w:val="002573EF"/>
    <w:rsid w:val="00260467"/>
    <w:rsid w:val="00263EA3"/>
    <w:rsid w:val="00284F85"/>
    <w:rsid w:val="00290915"/>
    <w:rsid w:val="002A22E2"/>
    <w:rsid w:val="002C171B"/>
    <w:rsid w:val="002C64F7"/>
    <w:rsid w:val="002F3843"/>
    <w:rsid w:val="002F41F2"/>
    <w:rsid w:val="00301BF3"/>
    <w:rsid w:val="0030208D"/>
    <w:rsid w:val="003035D1"/>
    <w:rsid w:val="00323418"/>
    <w:rsid w:val="00327347"/>
    <w:rsid w:val="0033362D"/>
    <w:rsid w:val="003357BF"/>
    <w:rsid w:val="00364FAD"/>
    <w:rsid w:val="0036738F"/>
    <w:rsid w:val="0036759C"/>
    <w:rsid w:val="00367AE5"/>
    <w:rsid w:val="00367D71"/>
    <w:rsid w:val="0038150A"/>
    <w:rsid w:val="00385147"/>
    <w:rsid w:val="00390359"/>
    <w:rsid w:val="003B58AB"/>
    <w:rsid w:val="003B6E75"/>
    <w:rsid w:val="003B7DA1"/>
    <w:rsid w:val="003D0379"/>
    <w:rsid w:val="003D2574"/>
    <w:rsid w:val="003D418D"/>
    <w:rsid w:val="003D4C59"/>
    <w:rsid w:val="003F4267"/>
    <w:rsid w:val="00404032"/>
    <w:rsid w:val="0040736F"/>
    <w:rsid w:val="00412C1F"/>
    <w:rsid w:val="00421CB2"/>
    <w:rsid w:val="004268B9"/>
    <w:rsid w:val="00426DD5"/>
    <w:rsid w:val="004329FD"/>
    <w:rsid w:val="00433B96"/>
    <w:rsid w:val="004440F1"/>
    <w:rsid w:val="004456DD"/>
    <w:rsid w:val="00446CDF"/>
    <w:rsid w:val="004521B7"/>
    <w:rsid w:val="00462AB5"/>
    <w:rsid w:val="00465EAF"/>
    <w:rsid w:val="004738C5"/>
    <w:rsid w:val="00491046"/>
    <w:rsid w:val="004A2AC7"/>
    <w:rsid w:val="004A6D2F"/>
    <w:rsid w:val="004C2502"/>
    <w:rsid w:val="004C2887"/>
    <w:rsid w:val="004D2626"/>
    <w:rsid w:val="004D6E26"/>
    <w:rsid w:val="004D77D3"/>
    <w:rsid w:val="004E2959"/>
    <w:rsid w:val="004F20EF"/>
    <w:rsid w:val="0050321C"/>
    <w:rsid w:val="0054712D"/>
    <w:rsid w:val="00547EF6"/>
    <w:rsid w:val="005570B5"/>
    <w:rsid w:val="00567E18"/>
    <w:rsid w:val="00575F5F"/>
    <w:rsid w:val="00581805"/>
    <w:rsid w:val="0058272E"/>
    <w:rsid w:val="00585F76"/>
    <w:rsid w:val="005A34E4"/>
    <w:rsid w:val="005B17F2"/>
    <w:rsid w:val="005B7FB0"/>
    <w:rsid w:val="005C35A5"/>
    <w:rsid w:val="005C577C"/>
    <w:rsid w:val="005D0621"/>
    <w:rsid w:val="005D1E27"/>
    <w:rsid w:val="005D2A3E"/>
    <w:rsid w:val="005E022E"/>
    <w:rsid w:val="005E5215"/>
    <w:rsid w:val="005E55CC"/>
    <w:rsid w:val="005F165C"/>
    <w:rsid w:val="005F7F7E"/>
    <w:rsid w:val="00611FA8"/>
    <w:rsid w:val="00614693"/>
    <w:rsid w:val="00623C2F"/>
    <w:rsid w:val="00633578"/>
    <w:rsid w:val="00637068"/>
    <w:rsid w:val="00650811"/>
    <w:rsid w:val="00661D3E"/>
    <w:rsid w:val="006747B9"/>
    <w:rsid w:val="006871C4"/>
    <w:rsid w:val="00692627"/>
    <w:rsid w:val="006969E7"/>
    <w:rsid w:val="006A3643"/>
    <w:rsid w:val="006A499E"/>
    <w:rsid w:val="006B5F92"/>
    <w:rsid w:val="006C2A29"/>
    <w:rsid w:val="006C64CF"/>
    <w:rsid w:val="006D17B1"/>
    <w:rsid w:val="006D4752"/>
    <w:rsid w:val="006D708A"/>
    <w:rsid w:val="006E14C1"/>
    <w:rsid w:val="006F0292"/>
    <w:rsid w:val="006F27FA"/>
    <w:rsid w:val="006F416B"/>
    <w:rsid w:val="006F519B"/>
    <w:rsid w:val="006F7AF4"/>
    <w:rsid w:val="00713675"/>
    <w:rsid w:val="00715823"/>
    <w:rsid w:val="0072195B"/>
    <w:rsid w:val="00737B93"/>
    <w:rsid w:val="00745BF0"/>
    <w:rsid w:val="00750C95"/>
    <w:rsid w:val="007615FE"/>
    <w:rsid w:val="0076655C"/>
    <w:rsid w:val="007742DC"/>
    <w:rsid w:val="00791437"/>
    <w:rsid w:val="007B0C2C"/>
    <w:rsid w:val="007B278E"/>
    <w:rsid w:val="007C5C23"/>
    <w:rsid w:val="007E2A26"/>
    <w:rsid w:val="007F0D9A"/>
    <w:rsid w:val="007F2348"/>
    <w:rsid w:val="00803F07"/>
    <w:rsid w:val="0080749A"/>
    <w:rsid w:val="0081769B"/>
    <w:rsid w:val="00821FB8"/>
    <w:rsid w:val="00822ACD"/>
    <w:rsid w:val="00824873"/>
    <w:rsid w:val="00841851"/>
    <w:rsid w:val="00841D0B"/>
    <w:rsid w:val="00855C66"/>
    <w:rsid w:val="00871EE4"/>
    <w:rsid w:val="008B293F"/>
    <w:rsid w:val="008B7371"/>
    <w:rsid w:val="008C2F59"/>
    <w:rsid w:val="008C5117"/>
    <w:rsid w:val="008D3DDB"/>
    <w:rsid w:val="008E00F4"/>
    <w:rsid w:val="008E1287"/>
    <w:rsid w:val="008F143D"/>
    <w:rsid w:val="008F573F"/>
    <w:rsid w:val="009034EC"/>
    <w:rsid w:val="0093067A"/>
    <w:rsid w:val="00941C60"/>
    <w:rsid w:val="009449A3"/>
    <w:rsid w:val="00966D42"/>
    <w:rsid w:val="00971689"/>
    <w:rsid w:val="00973E90"/>
    <w:rsid w:val="00975B07"/>
    <w:rsid w:val="00980B4A"/>
    <w:rsid w:val="009B59C9"/>
    <w:rsid w:val="009D093B"/>
    <w:rsid w:val="009D4476"/>
    <w:rsid w:val="009E3D0A"/>
    <w:rsid w:val="009E51FC"/>
    <w:rsid w:val="009F1D28"/>
    <w:rsid w:val="009F6E8E"/>
    <w:rsid w:val="009F7618"/>
    <w:rsid w:val="00A00F91"/>
    <w:rsid w:val="00A04D23"/>
    <w:rsid w:val="00A06766"/>
    <w:rsid w:val="00A13765"/>
    <w:rsid w:val="00A21B12"/>
    <w:rsid w:val="00A23F80"/>
    <w:rsid w:val="00A46E98"/>
    <w:rsid w:val="00A6352B"/>
    <w:rsid w:val="00A701B5"/>
    <w:rsid w:val="00A714BB"/>
    <w:rsid w:val="00A802A4"/>
    <w:rsid w:val="00A8176F"/>
    <w:rsid w:val="00A92D8F"/>
    <w:rsid w:val="00AA3BBB"/>
    <w:rsid w:val="00AB2988"/>
    <w:rsid w:val="00AB7999"/>
    <w:rsid w:val="00AC19E4"/>
    <w:rsid w:val="00AD3292"/>
    <w:rsid w:val="00AE125D"/>
    <w:rsid w:val="00AE7AF0"/>
    <w:rsid w:val="00B066F9"/>
    <w:rsid w:val="00B30334"/>
    <w:rsid w:val="00B500CA"/>
    <w:rsid w:val="00B54982"/>
    <w:rsid w:val="00B758D0"/>
    <w:rsid w:val="00B86314"/>
    <w:rsid w:val="00B93A9B"/>
    <w:rsid w:val="00B94C36"/>
    <w:rsid w:val="00B967F9"/>
    <w:rsid w:val="00BA1C2E"/>
    <w:rsid w:val="00BA7C21"/>
    <w:rsid w:val="00BB03D6"/>
    <w:rsid w:val="00BB5DB3"/>
    <w:rsid w:val="00BC200B"/>
    <w:rsid w:val="00BC2B5A"/>
    <w:rsid w:val="00BC4756"/>
    <w:rsid w:val="00BC69A4"/>
    <w:rsid w:val="00BD34E9"/>
    <w:rsid w:val="00BE0680"/>
    <w:rsid w:val="00BE305F"/>
    <w:rsid w:val="00BE4593"/>
    <w:rsid w:val="00BE7BA3"/>
    <w:rsid w:val="00BF5682"/>
    <w:rsid w:val="00BF7B09"/>
    <w:rsid w:val="00C11B4E"/>
    <w:rsid w:val="00C20A95"/>
    <w:rsid w:val="00C2692F"/>
    <w:rsid w:val="00C3207C"/>
    <w:rsid w:val="00C34EDE"/>
    <w:rsid w:val="00C400E1"/>
    <w:rsid w:val="00C41187"/>
    <w:rsid w:val="00C63C31"/>
    <w:rsid w:val="00C67E61"/>
    <w:rsid w:val="00C757A0"/>
    <w:rsid w:val="00C760DE"/>
    <w:rsid w:val="00C82630"/>
    <w:rsid w:val="00C85B4E"/>
    <w:rsid w:val="00C907F7"/>
    <w:rsid w:val="00CA2103"/>
    <w:rsid w:val="00CA2235"/>
    <w:rsid w:val="00CB6B99"/>
    <w:rsid w:val="00CE4C87"/>
    <w:rsid w:val="00CE544A"/>
    <w:rsid w:val="00CE6F46"/>
    <w:rsid w:val="00D11E1C"/>
    <w:rsid w:val="00D160B0"/>
    <w:rsid w:val="00D17F94"/>
    <w:rsid w:val="00D223FC"/>
    <w:rsid w:val="00D26D1E"/>
    <w:rsid w:val="00D474CF"/>
    <w:rsid w:val="00D5547E"/>
    <w:rsid w:val="00D869A1"/>
    <w:rsid w:val="00D9196A"/>
    <w:rsid w:val="00D9603C"/>
    <w:rsid w:val="00DA22FF"/>
    <w:rsid w:val="00DA2D64"/>
    <w:rsid w:val="00DA413F"/>
    <w:rsid w:val="00DA4584"/>
    <w:rsid w:val="00DA614B"/>
    <w:rsid w:val="00DC3060"/>
    <w:rsid w:val="00DD2067"/>
    <w:rsid w:val="00DE0FB2"/>
    <w:rsid w:val="00DF093E"/>
    <w:rsid w:val="00DF67ED"/>
    <w:rsid w:val="00E01F42"/>
    <w:rsid w:val="00E037C6"/>
    <w:rsid w:val="00E05CDA"/>
    <w:rsid w:val="00E206D6"/>
    <w:rsid w:val="00E3366E"/>
    <w:rsid w:val="00E4288C"/>
    <w:rsid w:val="00E52086"/>
    <w:rsid w:val="00E543A6"/>
    <w:rsid w:val="00E60394"/>
    <w:rsid w:val="00E60479"/>
    <w:rsid w:val="00E61D73"/>
    <w:rsid w:val="00E73684"/>
    <w:rsid w:val="00E80368"/>
    <w:rsid w:val="00E80B76"/>
    <w:rsid w:val="00E818D6"/>
    <w:rsid w:val="00E873C7"/>
    <w:rsid w:val="00E87F7A"/>
    <w:rsid w:val="00E96BD7"/>
    <w:rsid w:val="00EA0DB1"/>
    <w:rsid w:val="00EA0EE9"/>
    <w:rsid w:val="00EA1D4C"/>
    <w:rsid w:val="00ED52CA"/>
    <w:rsid w:val="00ED5860"/>
    <w:rsid w:val="00EE35C9"/>
    <w:rsid w:val="00F05ECA"/>
    <w:rsid w:val="00F3566E"/>
    <w:rsid w:val="00F375FB"/>
    <w:rsid w:val="00F41AC1"/>
    <w:rsid w:val="00F4367A"/>
    <w:rsid w:val="00F445B1"/>
    <w:rsid w:val="00F45CD4"/>
    <w:rsid w:val="00F66DCA"/>
    <w:rsid w:val="00F67C66"/>
    <w:rsid w:val="00F74B3C"/>
    <w:rsid w:val="00F74F53"/>
    <w:rsid w:val="00F7606D"/>
    <w:rsid w:val="00F81670"/>
    <w:rsid w:val="00F82024"/>
    <w:rsid w:val="00F95BC9"/>
    <w:rsid w:val="00F962D2"/>
    <w:rsid w:val="00FA624C"/>
    <w:rsid w:val="00FC1BF0"/>
    <w:rsid w:val="00FC2C41"/>
    <w:rsid w:val="00FD0FAC"/>
    <w:rsid w:val="00FD1DFA"/>
    <w:rsid w:val="00FD4966"/>
    <w:rsid w:val="00FE513B"/>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2F3843"/>
    <w:pPr>
      <w:autoSpaceDE w:val="0"/>
      <w:autoSpaceDN w:val="0"/>
      <w:adjustRightInd w:val="0"/>
    </w:pPr>
    <w:rPr>
      <w:rFonts w:cs="Arial"/>
      <w:color w:val="000000"/>
      <w:sz w:val="24"/>
      <w:szCs w:val="24"/>
    </w:rPr>
  </w:style>
  <w:style w:type="character" w:styleId="FollowedHyperlink">
    <w:name w:val="FollowedHyperlink"/>
    <w:basedOn w:val="DefaultParagraphFont"/>
    <w:rsid w:val="008C2F5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2F3843"/>
    <w:pPr>
      <w:autoSpaceDE w:val="0"/>
      <w:autoSpaceDN w:val="0"/>
      <w:adjustRightInd w:val="0"/>
    </w:pPr>
    <w:rPr>
      <w:rFonts w:cs="Arial"/>
      <w:color w:val="000000"/>
      <w:sz w:val="24"/>
      <w:szCs w:val="24"/>
    </w:rPr>
  </w:style>
  <w:style w:type="character" w:styleId="FollowedHyperlink">
    <w:name w:val="FollowedHyperlink"/>
    <w:basedOn w:val="DefaultParagraphFont"/>
    <w:rsid w:val="008C2F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ngland.nhs.uk/wp-content/uploads/2017/08/bcf-planning-requirements-faq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cn.org.uk/-/media/royal-college-of-nursing/documents/publications/2007/november/pub-00277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ingsfund.org.uk/sites/default/files/field/field_publication_file/exploring-system-wide-costs-of-falls-in-torbay-kingsfund-aug13.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foundations.uk.com/media/4718/preparing-a-policy-under-the-regulatory-reform-order-formatted.pdf" TargetMode="External"/><Relationship Id="rId4" Type="http://schemas.microsoft.com/office/2007/relationships/stylesWithEffects" Target="stylesWithEffects.xml"/><Relationship Id="rId9" Type="http://schemas.openxmlformats.org/officeDocument/2006/relationships/hyperlink" Target="http://insight.oxfordshire.gov.uk/cms/system/files/documents/20160329_Needs%20Analysis%20for%20Older%20People%20in%20Oxfordshire_FINAL.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E6B11-B98B-45F5-8CE9-0CA10CDA1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ECE4E7A5</Template>
  <TotalTime>2</TotalTime>
  <Pages>6</Pages>
  <Words>2106</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rbell</dc:creator>
  <cp:lastModifiedBy>JMitchell</cp:lastModifiedBy>
  <cp:revision>3</cp:revision>
  <cp:lastPrinted>2017-09-07T09:47:00Z</cp:lastPrinted>
  <dcterms:created xsi:type="dcterms:W3CDTF">2017-09-26T09:05:00Z</dcterms:created>
  <dcterms:modified xsi:type="dcterms:W3CDTF">2017-09-28T15:41:00Z</dcterms:modified>
</cp:coreProperties>
</file>